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 xml:space="preserve">   陪同人员：李蔚彧</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审核员：朱晓丽    审核时间：2020年</w:t>
            </w:r>
            <w:r>
              <w:rPr>
                <w:rFonts w:hint="eastAsia"/>
                <w:sz w:val="24"/>
                <w:szCs w:val="24"/>
                <w:lang w:val="en-US" w:eastAsia="zh-CN"/>
              </w:rPr>
              <w:t>6</w:t>
            </w:r>
            <w:r>
              <w:rPr>
                <w:rFonts w:hint="eastAsia"/>
                <w:sz w:val="24"/>
                <w:szCs w:val="24"/>
              </w:rPr>
              <w:t>月</w:t>
            </w:r>
            <w:r>
              <w:rPr>
                <w:rFonts w:hint="eastAsia"/>
                <w:sz w:val="24"/>
                <w:szCs w:val="24"/>
                <w:lang w:val="en-US" w:eastAsia="zh-CN"/>
              </w:rPr>
              <w:t>20</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60" w:lineRule="auto"/>
              <w:rPr>
                <w:sz w:val="24"/>
                <w:szCs w:val="24"/>
              </w:rPr>
            </w:pPr>
            <w:r>
              <w:rPr>
                <w:rFonts w:hint="eastAsia"/>
                <w:sz w:val="24"/>
                <w:szCs w:val="24"/>
              </w:rPr>
              <w:t>审核条款：</w:t>
            </w:r>
            <w:r>
              <w:rPr>
                <w:rFonts w:hint="eastAsia"/>
                <w:sz w:val="24"/>
                <w:szCs w:val="24"/>
                <w:lang w:val="en-US" w:eastAsia="zh-CN"/>
              </w:rPr>
              <w:t>Q</w:t>
            </w:r>
            <w:r>
              <w:rPr>
                <w:rFonts w:hint="eastAsia"/>
                <w:sz w:val="24"/>
                <w:szCs w:val="24"/>
              </w:rPr>
              <w:t>4.1/4.3/4.4/5.2/6.2/7.1/9.3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2160" w:type="dxa"/>
            <w:vAlign w:val="center"/>
          </w:tcPr>
          <w:p>
            <w:pPr>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组织及其环境</w:t>
            </w: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tabs>
                <w:tab w:val="left" w:pos="7380"/>
              </w:tabs>
              <w:rPr>
                <w:rFonts w:ascii="宋体" w:hAnsi="宋体"/>
                <w:b/>
                <w:szCs w:val="21"/>
              </w:rPr>
            </w:pPr>
            <w:r>
              <w:rPr>
                <w:rFonts w:hint="eastAsia" w:ascii="宋体" w:hAnsi="宋体"/>
                <w:szCs w:val="21"/>
              </w:rPr>
              <w:t>管理体系的范围</w:t>
            </w: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tabs>
                <w:tab w:val="left" w:pos="7380"/>
              </w:tabs>
              <w:rPr>
                <w:rFonts w:ascii="宋体" w:hAnsi="宋体"/>
                <w:b/>
                <w:szCs w:val="21"/>
              </w:rPr>
            </w:pPr>
            <w:r>
              <w:rPr>
                <w:rFonts w:hint="eastAsia" w:ascii="宋体" w:hAnsi="宋体"/>
                <w:szCs w:val="21"/>
              </w:rPr>
              <w:t>管理体系及其过程</w:t>
            </w: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tabs>
                <w:tab w:val="left" w:pos="7380"/>
              </w:tabs>
              <w:rPr>
                <w:rFonts w:ascii="宋体" w:hAnsi="宋体"/>
                <w:szCs w:val="21"/>
              </w:rPr>
            </w:pPr>
            <w:r>
              <w:rPr>
                <w:rFonts w:hint="eastAsia" w:ascii="宋体" w:hAnsi="宋体"/>
                <w:szCs w:val="21"/>
              </w:rPr>
              <w:t>方针</w:t>
            </w: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r>
              <w:rPr>
                <w:rFonts w:hint="eastAsia" w:ascii="宋体" w:hAnsi="宋体"/>
                <w:szCs w:val="21"/>
              </w:rPr>
              <w:t>目标及其实现的策划</w:t>
            </w: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tabs>
                <w:tab w:val="left" w:pos="7380"/>
              </w:tabs>
              <w:rPr>
                <w:rFonts w:ascii="宋体" w:hAnsi="宋体"/>
                <w:szCs w:val="21"/>
              </w:rPr>
            </w:pPr>
            <w:r>
              <w:rPr>
                <w:rFonts w:hint="eastAsia" w:ascii="宋体" w:hAnsi="宋体"/>
                <w:szCs w:val="21"/>
              </w:rPr>
              <w:t>资源总则</w:t>
            </w: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tabs>
                <w:tab w:val="left" w:pos="7380"/>
              </w:tabs>
              <w:rPr>
                <w:rFonts w:ascii="宋体" w:hAnsi="宋体" w:cs="Tahoma"/>
                <w:szCs w:val="21"/>
              </w:rPr>
            </w:pPr>
            <w:r>
              <w:rPr>
                <w:rFonts w:hint="eastAsia" w:ascii="宋体" w:hAnsi="宋体" w:cs="Tahoma"/>
                <w:szCs w:val="21"/>
              </w:rPr>
              <w:t>管理评审</w:t>
            </w:r>
          </w:p>
          <w:p>
            <w:pPr>
              <w:pStyle w:val="10"/>
              <w:spacing w:line="240" w:lineRule="auto"/>
              <w:rPr>
                <w:rFonts w:hint="eastAsia" w:asciiTheme="minorEastAsia" w:hAnsiTheme="minorEastAsia" w:eastAsiaTheme="minorEastAsia" w:cstheme="minorEastAsia"/>
                <w:sz w:val="21"/>
                <w:szCs w:val="21"/>
              </w:rPr>
            </w:pPr>
          </w:p>
          <w:p>
            <w:pPr>
              <w:rPr>
                <w:rFonts w:ascii="宋体" w:hAnsi="宋体"/>
                <w:szCs w:val="21"/>
              </w:rPr>
            </w:pPr>
            <w:r>
              <w:rPr>
                <w:rFonts w:hint="eastAsia" w:ascii="宋体" w:hAnsi="宋体"/>
                <w:szCs w:val="21"/>
              </w:rPr>
              <w:t>相关方投诉</w:t>
            </w:r>
          </w:p>
          <w:p>
            <w:pPr>
              <w:rPr>
                <w:rFonts w:ascii="宋体" w:hAnsi="宋体"/>
                <w:szCs w:val="21"/>
              </w:rPr>
            </w:pPr>
            <w:r>
              <w:rPr>
                <w:rFonts w:hint="eastAsia" w:ascii="宋体" w:hAnsi="宋体"/>
                <w:szCs w:val="21"/>
              </w:rPr>
              <w:t>国家抽检</w:t>
            </w:r>
          </w:p>
          <w:p>
            <w:pPr>
              <w:rPr>
                <w:rFonts w:ascii="宋体" w:hAnsi="宋体"/>
                <w:szCs w:val="21"/>
              </w:rPr>
            </w:pPr>
            <w:r>
              <w:rPr>
                <w:rFonts w:hint="eastAsia" w:ascii="宋体" w:hAnsi="宋体"/>
                <w:szCs w:val="21"/>
              </w:rPr>
              <w:t>质量环境安全事故</w:t>
            </w:r>
          </w:p>
          <w:p>
            <w:pPr>
              <w:tabs>
                <w:tab w:val="left" w:pos="7380"/>
              </w:tabs>
              <w:rPr>
                <w:rFonts w:ascii="宋体" w:hAnsi="宋体"/>
                <w:szCs w:val="21"/>
              </w:rPr>
            </w:pPr>
            <w:r>
              <w:rPr>
                <w:rFonts w:hint="eastAsia" w:ascii="宋体" w:hAnsi="宋体"/>
                <w:szCs w:val="21"/>
              </w:rPr>
              <w:t>变更情况</w:t>
            </w: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tc>
        <w:tc>
          <w:tcPr>
            <w:tcW w:w="960" w:type="dxa"/>
            <w:vAlign w:val="center"/>
          </w:tcPr>
          <w:p>
            <w:pPr>
              <w:spacing w:line="240" w:lineRule="auto"/>
              <w:rPr>
                <w:rFonts w:hint="eastAsia"/>
              </w:rPr>
            </w:pPr>
          </w:p>
          <w:p>
            <w:pPr>
              <w:pStyle w:val="10"/>
              <w:spacing w:line="240" w:lineRule="auto"/>
              <w:rPr>
                <w:rFonts w:hint="eastAsia"/>
              </w:rPr>
            </w:pPr>
          </w:p>
          <w:p>
            <w:pPr>
              <w:pStyle w:val="10"/>
              <w:spacing w:line="240" w:lineRule="auto"/>
              <w:rPr>
                <w:rFonts w:hint="eastAsia"/>
              </w:rPr>
            </w:pPr>
          </w:p>
          <w:p>
            <w:pPr>
              <w:pStyle w:val="10"/>
              <w:spacing w:line="240" w:lineRule="auto"/>
              <w:rPr>
                <w:rFonts w:hint="eastAsia"/>
              </w:rPr>
            </w:pPr>
          </w:p>
          <w:p>
            <w:pPr>
              <w:pStyle w:val="10"/>
              <w:spacing w:line="240" w:lineRule="auto"/>
              <w:rPr>
                <w:rFonts w:hint="eastAsia"/>
              </w:rPr>
            </w:pPr>
          </w:p>
          <w:p>
            <w:pPr>
              <w:pStyle w:val="10"/>
              <w:spacing w:line="240" w:lineRule="auto"/>
              <w:rPr>
                <w:rFonts w:hint="eastAsia"/>
              </w:rPr>
            </w:pPr>
          </w:p>
          <w:p>
            <w:pPr>
              <w:pStyle w:val="10"/>
              <w:spacing w:line="240" w:lineRule="auto"/>
              <w:rPr>
                <w:rFonts w:hint="eastAsia"/>
              </w:rPr>
            </w:pPr>
          </w:p>
          <w:p>
            <w:pPr>
              <w:pStyle w:val="10"/>
              <w:spacing w:line="240" w:lineRule="auto"/>
              <w:rPr>
                <w:rFonts w:hint="eastAsia"/>
              </w:rPr>
            </w:pPr>
          </w:p>
          <w:p>
            <w:pPr>
              <w:pStyle w:val="10"/>
              <w:spacing w:line="240" w:lineRule="auto"/>
              <w:rPr>
                <w:rFonts w:hint="eastAsia"/>
              </w:rPr>
            </w:pPr>
          </w:p>
          <w:p>
            <w:pPr>
              <w:pStyle w:val="10"/>
              <w:spacing w:line="240" w:lineRule="auto"/>
              <w:rPr>
                <w:rFonts w:hint="eastAsia"/>
              </w:rPr>
            </w:pPr>
          </w:p>
          <w:p>
            <w:pPr>
              <w:pStyle w:val="10"/>
              <w:spacing w:line="240" w:lineRule="auto"/>
              <w:rPr>
                <w:rFonts w:hint="eastAsia"/>
              </w:rPr>
            </w:pPr>
          </w:p>
          <w:p>
            <w:pPr>
              <w:pStyle w:val="10"/>
              <w:spacing w:line="240" w:lineRule="auto"/>
              <w:rPr>
                <w:rFonts w:hint="eastAsia"/>
                <w:lang w:val="en-US" w:eastAsia="zh-CN"/>
              </w:rPr>
            </w:pPr>
            <w:r>
              <w:rPr>
                <w:rFonts w:hint="eastAsia"/>
                <w:lang w:val="en-US" w:eastAsia="zh-CN"/>
              </w:rPr>
              <w:t>Q4.1</w:t>
            </w:r>
          </w:p>
          <w:p>
            <w:pPr>
              <w:pStyle w:val="10"/>
              <w:spacing w:line="240" w:lineRule="auto"/>
              <w:rPr>
                <w:rFonts w:hint="eastAsia"/>
                <w:lang w:val="en-US" w:eastAsia="zh-CN"/>
              </w:rPr>
            </w:pPr>
          </w:p>
          <w:p>
            <w:pPr>
              <w:pStyle w:val="10"/>
              <w:spacing w:line="240" w:lineRule="auto"/>
              <w:rPr>
                <w:rFonts w:hint="eastAsia"/>
                <w:lang w:val="en-US" w:eastAsia="zh-CN"/>
              </w:rPr>
            </w:pPr>
          </w:p>
          <w:p>
            <w:pPr>
              <w:pStyle w:val="10"/>
              <w:spacing w:line="240" w:lineRule="auto"/>
              <w:rPr>
                <w:rFonts w:hint="eastAsia"/>
                <w:lang w:val="en-US" w:eastAsia="zh-CN"/>
              </w:rPr>
            </w:pPr>
          </w:p>
          <w:p>
            <w:pPr>
              <w:pStyle w:val="10"/>
              <w:spacing w:line="240" w:lineRule="auto"/>
              <w:rPr>
                <w:rFonts w:hint="eastAsia"/>
                <w:lang w:val="en-US" w:eastAsia="zh-CN"/>
              </w:rPr>
            </w:pPr>
          </w:p>
          <w:p>
            <w:pPr>
              <w:pStyle w:val="10"/>
              <w:spacing w:line="240" w:lineRule="auto"/>
              <w:rPr>
                <w:rFonts w:hint="eastAsia"/>
                <w:lang w:val="en-US" w:eastAsia="zh-CN"/>
              </w:rPr>
            </w:pPr>
          </w:p>
          <w:p>
            <w:pPr>
              <w:pStyle w:val="10"/>
              <w:spacing w:line="240" w:lineRule="auto"/>
              <w:rPr>
                <w:rFonts w:hint="eastAsia"/>
                <w:lang w:val="en-US" w:eastAsia="zh-CN"/>
              </w:rPr>
            </w:pPr>
          </w:p>
          <w:p>
            <w:pPr>
              <w:pStyle w:val="10"/>
              <w:spacing w:line="240" w:lineRule="auto"/>
              <w:rPr>
                <w:rFonts w:hint="eastAsia"/>
                <w:lang w:val="en-US" w:eastAsia="zh-CN"/>
              </w:rPr>
            </w:pPr>
          </w:p>
          <w:p>
            <w:pPr>
              <w:pStyle w:val="10"/>
              <w:spacing w:line="240" w:lineRule="auto"/>
              <w:rPr>
                <w:rFonts w:hint="eastAsia"/>
                <w:lang w:val="en-US" w:eastAsia="zh-CN"/>
              </w:rPr>
            </w:pPr>
          </w:p>
          <w:p>
            <w:pPr>
              <w:pStyle w:val="10"/>
              <w:spacing w:line="240" w:lineRule="auto"/>
              <w:rPr>
                <w:rFonts w:hint="default"/>
                <w:lang w:val="en-US" w:eastAsia="zh-CN"/>
              </w:rPr>
            </w:pPr>
            <w:r>
              <w:rPr>
                <w:rFonts w:hint="eastAsia"/>
                <w:lang w:val="en-US" w:eastAsia="zh-CN"/>
              </w:rPr>
              <w:t>Q4.3</w:t>
            </w:r>
          </w:p>
          <w:p>
            <w:pPr>
              <w:pStyle w:val="10"/>
              <w:spacing w:line="240" w:lineRule="auto"/>
              <w:rPr>
                <w:rFonts w:hint="eastAsia"/>
                <w:lang w:val="en-US" w:eastAsia="zh-CN"/>
              </w:rPr>
            </w:pPr>
          </w:p>
          <w:p>
            <w:pPr>
              <w:pStyle w:val="10"/>
              <w:spacing w:line="240" w:lineRule="auto"/>
              <w:rPr>
                <w:rFonts w:hint="eastAsia"/>
                <w:lang w:val="en-US" w:eastAsia="zh-CN"/>
              </w:rPr>
            </w:pPr>
          </w:p>
          <w:p>
            <w:pPr>
              <w:pStyle w:val="10"/>
              <w:spacing w:line="240" w:lineRule="auto"/>
              <w:rPr>
                <w:rFonts w:hint="eastAsia"/>
                <w:lang w:val="en-US" w:eastAsia="zh-CN"/>
              </w:rPr>
            </w:pPr>
          </w:p>
          <w:p>
            <w:pPr>
              <w:pStyle w:val="10"/>
              <w:spacing w:line="240" w:lineRule="auto"/>
              <w:rPr>
                <w:rFonts w:hint="eastAsia"/>
                <w:lang w:val="en-US" w:eastAsia="zh-CN"/>
              </w:rPr>
            </w:pPr>
          </w:p>
          <w:p>
            <w:pPr>
              <w:pStyle w:val="10"/>
              <w:spacing w:line="240" w:lineRule="auto"/>
              <w:rPr>
                <w:rFonts w:hint="eastAsia"/>
                <w:lang w:val="en-US" w:eastAsia="zh-CN"/>
              </w:rPr>
            </w:pPr>
          </w:p>
          <w:p>
            <w:pPr>
              <w:pStyle w:val="10"/>
              <w:spacing w:line="240" w:lineRule="auto"/>
              <w:rPr>
                <w:rFonts w:hint="eastAsia"/>
                <w:lang w:val="en-US" w:eastAsia="zh-CN"/>
              </w:rPr>
            </w:pPr>
          </w:p>
          <w:p>
            <w:pPr>
              <w:pStyle w:val="10"/>
              <w:spacing w:line="240" w:lineRule="auto"/>
              <w:rPr>
                <w:rFonts w:hint="eastAsia"/>
                <w:lang w:val="en-US" w:eastAsia="zh-CN"/>
              </w:rPr>
            </w:pPr>
          </w:p>
          <w:p>
            <w:pPr>
              <w:pStyle w:val="10"/>
              <w:spacing w:line="240" w:lineRule="auto"/>
              <w:rPr>
                <w:rFonts w:hint="eastAsia"/>
                <w:lang w:val="en-US" w:eastAsia="zh-CN"/>
              </w:rPr>
            </w:pPr>
          </w:p>
          <w:p>
            <w:pPr>
              <w:pStyle w:val="10"/>
              <w:spacing w:line="240" w:lineRule="auto"/>
              <w:rPr>
                <w:rFonts w:hint="eastAsia"/>
                <w:lang w:val="en-US" w:eastAsia="zh-CN"/>
              </w:rPr>
            </w:pPr>
          </w:p>
          <w:p>
            <w:pPr>
              <w:pStyle w:val="10"/>
              <w:spacing w:line="240" w:lineRule="auto"/>
              <w:rPr>
                <w:rFonts w:hint="eastAsia"/>
                <w:lang w:val="en-US" w:eastAsia="zh-CN"/>
              </w:rPr>
            </w:pPr>
          </w:p>
          <w:p>
            <w:pPr>
              <w:pStyle w:val="10"/>
              <w:spacing w:line="240" w:lineRule="auto"/>
              <w:rPr>
                <w:rFonts w:hint="eastAsia"/>
                <w:lang w:val="en-US" w:eastAsia="zh-CN"/>
              </w:rPr>
            </w:pPr>
          </w:p>
          <w:p>
            <w:pPr>
              <w:pStyle w:val="10"/>
              <w:spacing w:line="240" w:lineRule="auto"/>
              <w:rPr>
                <w:rFonts w:hint="eastAsia"/>
                <w:lang w:val="en-US" w:eastAsia="zh-CN"/>
              </w:rPr>
            </w:pPr>
          </w:p>
          <w:p>
            <w:pPr>
              <w:pStyle w:val="10"/>
              <w:spacing w:line="240" w:lineRule="auto"/>
              <w:rPr>
                <w:rFonts w:hint="eastAsia"/>
                <w:lang w:val="en-US" w:eastAsia="zh-CN"/>
              </w:rPr>
            </w:pPr>
          </w:p>
          <w:p>
            <w:pPr>
              <w:bidi w:val="0"/>
              <w:rPr>
                <w:rFonts w:hint="default"/>
                <w:lang w:val="en-US" w:eastAsia="zh-CN"/>
              </w:rPr>
            </w:pPr>
            <w:r>
              <w:rPr>
                <w:rFonts w:hint="eastAsia"/>
                <w:lang w:val="en-US" w:eastAsia="zh-CN"/>
              </w:rPr>
              <w:t>Q4.4</w:t>
            </w:r>
          </w:p>
          <w:p>
            <w:pPr>
              <w:bidi w:val="0"/>
              <w:ind w:firstLine="209" w:firstLineChars="0"/>
              <w:jc w:val="left"/>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Q5.2</w:t>
            </w: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Q6.2</w:t>
            </w: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r>
              <w:rPr>
                <w:rFonts w:hint="eastAsia"/>
                <w:lang w:val="en-US" w:eastAsia="zh-CN"/>
              </w:rPr>
              <w:t>Q7.1</w:t>
            </w: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Q9.3</w:t>
            </w:r>
          </w:p>
          <w:p>
            <w:pPr>
              <w:pStyle w:val="10"/>
              <w:rPr>
                <w:rFonts w:hint="default"/>
                <w:lang w:val="en-US" w:eastAsia="zh-CN"/>
              </w:rPr>
            </w:pPr>
          </w:p>
          <w:p>
            <w:pPr>
              <w:pStyle w:val="10"/>
              <w:rPr>
                <w:rFonts w:hint="default"/>
                <w:lang w:val="en-US" w:eastAsia="zh-CN"/>
              </w:rPr>
            </w:pPr>
          </w:p>
          <w:p>
            <w:pPr>
              <w:pStyle w:val="10"/>
              <w:rPr>
                <w:rFonts w:hint="default"/>
                <w:lang w:val="en-US" w:eastAsia="zh-CN"/>
              </w:rPr>
            </w:pPr>
          </w:p>
        </w:tc>
        <w:tc>
          <w:tcPr>
            <w:tcW w:w="10004" w:type="dxa"/>
            <w:vAlign w:val="center"/>
          </w:tcPr>
          <w:p>
            <w:pPr>
              <w:tabs>
                <w:tab w:val="left" w:pos="7380"/>
              </w:tabs>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确认受审方名称：北京盛鑫嘉华环保科技有限公司</w:t>
            </w:r>
          </w:p>
          <w:p>
            <w:pPr>
              <w:tabs>
                <w:tab w:val="left" w:pos="7380"/>
              </w:tabs>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注册地址：北京市丰台区丰台科学城航丰路8号三幢五层B5118房（园区）</w:t>
            </w:r>
          </w:p>
          <w:p>
            <w:pPr>
              <w:tabs>
                <w:tab w:val="left" w:pos="7380"/>
              </w:tabs>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经营地址：北京市丰台区丰台科学城航丰路8号三幢五层B5118房（园区）</w:t>
            </w:r>
          </w:p>
          <w:p>
            <w:pPr>
              <w:tabs>
                <w:tab w:val="left" w:pos="7380"/>
              </w:tabs>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资质确认：营业执照、真实有效，符合要求。</w:t>
            </w:r>
          </w:p>
          <w:p>
            <w:pPr>
              <w:tabs>
                <w:tab w:val="left" w:pos="7380"/>
              </w:tabs>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审核范围：</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Q：城市园林绿化；环保草毯的销售</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E：城市园林绿化；环保草毯的销售所涉及的相关环境管理活动</w:t>
            </w:r>
          </w:p>
          <w:p>
            <w:pPr>
              <w:spacing w:line="240" w:lineRule="auto"/>
              <w:rPr>
                <w:rFonts w:hint="eastAsia" w:asciiTheme="minorEastAsia" w:hAnsiTheme="minorEastAsia" w:eastAsiaTheme="minorEastAsia" w:cstheme="minorEastAsia"/>
                <w:sz w:val="21"/>
                <w:szCs w:val="21"/>
              </w:rPr>
            </w:pPr>
          </w:p>
          <w:p>
            <w:pPr>
              <w:tabs>
                <w:tab w:val="left" w:pos="7380"/>
              </w:tabs>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w:t>
            </w:r>
            <w:r>
              <w:rPr>
                <w:rFonts w:hint="eastAsia" w:asciiTheme="minorEastAsia" w:hAnsiTheme="minorEastAsia" w:eastAsiaTheme="minorEastAsia" w:cstheme="minorEastAsia"/>
                <w:sz w:val="21"/>
                <w:szCs w:val="21"/>
                <w:lang w:eastAsia="zh-CN"/>
              </w:rPr>
              <w:t>周枫</w:t>
            </w:r>
            <w:r>
              <w:rPr>
                <w:rFonts w:hint="eastAsia" w:asciiTheme="minorEastAsia" w:hAnsiTheme="minorEastAsia" w:eastAsiaTheme="minorEastAsia" w:cstheme="minorEastAsia"/>
                <w:sz w:val="21"/>
                <w:szCs w:val="21"/>
              </w:rPr>
              <w:t>，管理者代表：</w:t>
            </w:r>
            <w:r>
              <w:rPr>
                <w:rFonts w:hint="eastAsia" w:asciiTheme="minorEastAsia" w:hAnsiTheme="minorEastAsia" w:eastAsiaTheme="minorEastAsia" w:cstheme="minorEastAsia"/>
                <w:sz w:val="21"/>
                <w:szCs w:val="21"/>
                <w:lang w:eastAsia="zh-CN"/>
              </w:rPr>
              <w:t>李蔚彧</w:t>
            </w:r>
          </w:p>
          <w:p>
            <w:pPr>
              <w:adjustRightInd w:val="0"/>
              <w:snapToGrid w:val="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5"/>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公司2019年</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月1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日发布实施了管理手册\程序文件，管理手册\程序文件按GB/T19001-2016、GB/T24001-2016标准要求编制，由管理者代表组织人员编写，总经理批准实施。文件中描述了质量环境管理体系建立的原则及质量环境管理体系的各个过程。确定了质量环境管理体系的过程及控制方法，配备了所需设施及符合能力要求的各任职人员。对相关人员进行了培训，从而能更好的贯彻标准。</w:t>
            </w:r>
          </w:p>
          <w:p>
            <w:pPr>
              <w:pStyle w:val="15"/>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公司识别、确定了与战略、目标相关、影响实现管理体系预期结果的内外部因素，并且关注不断变化的内外部信息。</w:t>
            </w: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企业对内外部环境进行了识别</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符合要求。</w:t>
            </w: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公司按照标准要求编写了体系文件，管理体系文件包括管理手册、程序文件、作业文件和记录表格等内容，管理手册中包括了管理方针和管理目标，并给出了各级文件的接口。</w:t>
            </w:r>
          </w:p>
          <w:p>
            <w:pPr>
              <w:pStyle w:val="1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手册中明确了体系的范围。公司明确了质量环境管理体系的边界、范围，在确定质量环境管理体系的范围时考虑了公司的内外部因素和相关方的需求和期望，考虑了公司的产品和服务，与公司的宗旨和战略方向一致。符合标准要求。</w:t>
            </w:r>
          </w:p>
          <w:p>
            <w:pPr>
              <w:pStyle w:val="1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过程或活动：</w:t>
            </w:r>
          </w:p>
          <w:p>
            <w:pPr>
              <w:pStyle w:val="1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Q：城市园林绿化；环保草毯的销售</w:t>
            </w:r>
          </w:p>
          <w:p>
            <w:pPr>
              <w:pStyle w:val="1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E：城市园林绿化；环保草毯的销售所涉及的相关环境管理活动</w:t>
            </w: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涉及场所：北京市丰台区丰台科学城航丰路8号三幢五层B5118房（园区）</w:t>
            </w:r>
            <w:r>
              <w:rPr>
                <w:rFonts w:hint="eastAsia" w:asciiTheme="minorEastAsia" w:hAnsiTheme="minorEastAsia" w:eastAsiaTheme="minorEastAsia" w:cstheme="minorEastAsia"/>
                <w:sz w:val="21"/>
                <w:szCs w:val="21"/>
                <w:lang w:val="en-US" w:eastAsia="zh-CN"/>
              </w:rPr>
              <w:t>及多场所</w:t>
            </w: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外包：</w:t>
            </w:r>
            <w:r>
              <w:rPr>
                <w:rFonts w:hint="eastAsia" w:asciiTheme="minorEastAsia" w:hAnsiTheme="minorEastAsia" w:eastAsiaTheme="minorEastAsia" w:cstheme="minorEastAsia"/>
                <w:sz w:val="21"/>
                <w:szCs w:val="21"/>
                <w:lang w:val="en-US" w:eastAsia="zh-CN"/>
              </w:rPr>
              <w:t>无</w:t>
            </w:r>
          </w:p>
          <w:p>
            <w:pPr>
              <w:pStyle w:val="1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适用条款：企业是根据国家标准、行业标准、顾客要求进行活动。模式固定，确定本公司不涉及产品和服务的设计和开发，故对标准中的8.3条款的内容不适用。不适用后不影响组织提供满足顾客要求和适用法律法规要求的产品的能力或责任</w:t>
            </w: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依据GB/T19001-2016、GB/T24001-2016标准要求，并结合企业产品特点对管理体系进行了策划，策划基本体现了PDCA的思路。</w:t>
            </w:r>
          </w:p>
          <w:p>
            <w:pPr>
              <w:pStyle w:val="1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过程及相互关系进行了理顺，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公司外包过程：</w:t>
            </w:r>
            <w:r>
              <w:rPr>
                <w:rFonts w:hint="eastAsia" w:asciiTheme="minorEastAsia" w:hAnsiTheme="minorEastAsia" w:eastAsiaTheme="minorEastAsia" w:cstheme="minorEastAsia"/>
                <w:sz w:val="21"/>
                <w:szCs w:val="21"/>
                <w:lang w:val="en-US" w:eastAsia="zh-CN"/>
              </w:rPr>
              <w:t>无</w:t>
            </w:r>
          </w:p>
          <w:p>
            <w:pPr>
              <w:pStyle w:val="1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适用条款：企业是根据国家标准、行业标准、顾客要求进行活动。模式固定，确定本公司不涉及产品和服务的设计和开发，故对标准中的8.3条款的内容不适用。不适用后不影响组织提供满足顾客要求和适用法律法规要求的产品的能力或责任</w:t>
            </w: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tabs>
                <w:tab w:val="left" w:pos="7380"/>
              </w:tabs>
              <w:rPr>
                <w:rFonts w:ascii="宋体" w:hAnsi="宋体"/>
                <w:szCs w:val="21"/>
              </w:rPr>
            </w:pPr>
            <w:r>
              <w:rPr>
                <w:rFonts w:hint="eastAsia" w:ascii="宋体" w:hAnsi="宋体" w:cs="Tahoma"/>
                <w:szCs w:val="21"/>
              </w:rPr>
              <w:t>方针：遵守法律法规，以人为本， 持续改进，确保体系有效</w:t>
            </w:r>
            <w:r>
              <w:rPr>
                <w:rFonts w:hint="eastAsia" w:ascii="宋体" w:hAnsi="宋体" w:cs="Tahoma"/>
                <w:szCs w:val="21"/>
                <w:lang w:eastAsia="zh-CN"/>
              </w:rPr>
              <w:t>；</w:t>
            </w:r>
            <w:r>
              <w:rPr>
                <w:rFonts w:hint="eastAsia" w:ascii="宋体" w:hAnsi="宋体" w:cs="Tahoma"/>
                <w:szCs w:val="21"/>
              </w:rPr>
              <w:t>以顾客为中心，保护环境， 预防事故，创建满意工程。</w:t>
            </w:r>
          </w:p>
          <w:p>
            <w:pPr>
              <w:tabs>
                <w:tab w:val="left" w:pos="7380"/>
              </w:tabs>
              <w:rPr>
                <w:rFonts w:ascii="宋体" w:hAnsi="宋体" w:cs="Tahoma"/>
                <w:szCs w:val="21"/>
              </w:rPr>
            </w:pPr>
            <w:r>
              <w:rPr>
                <w:rFonts w:hint="eastAsia" w:ascii="宋体" w:hAnsi="宋体"/>
                <w:szCs w:val="21"/>
              </w:rPr>
              <w:t>方针在管理手册中予以规定，经总经理批准实施。</w:t>
            </w:r>
          </w:p>
          <w:p>
            <w:pPr>
              <w:pStyle w:val="10"/>
              <w:spacing w:line="240" w:lineRule="auto"/>
              <w:rPr>
                <w:rFonts w:hint="eastAsia" w:asciiTheme="minorEastAsia" w:hAnsiTheme="minorEastAsia" w:eastAsiaTheme="minorEastAsia" w:cstheme="minorEastAsia"/>
                <w:sz w:val="21"/>
                <w:szCs w:val="21"/>
              </w:rPr>
            </w:pPr>
            <w:r>
              <w:rPr>
                <w:rFonts w:hint="eastAsia" w:ascii="宋体" w:hAnsi="宋体"/>
                <w:szCs w:val="21"/>
              </w:rPr>
              <w:t>管理方针体现了标准的要求，包括：公司的宗旨和环境并支持其战略方向，为目标制定了框架，满足适用要求的承诺，持续改进质量环境管理体系的承诺，通过会议、文件、张贴、网络宣传等形式进行贯彻，可为相关方获取。管理方针基本适宜。</w:t>
            </w:r>
          </w:p>
          <w:p>
            <w:pPr>
              <w:pStyle w:val="10"/>
              <w:spacing w:line="240" w:lineRule="auto"/>
              <w:rPr>
                <w:rFonts w:hint="eastAsia" w:asciiTheme="minorEastAsia" w:hAnsiTheme="minorEastAsia" w:eastAsiaTheme="minorEastAsia" w:cstheme="minorEastAsia"/>
                <w:sz w:val="21"/>
                <w:szCs w:val="21"/>
              </w:rPr>
            </w:pPr>
          </w:p>
          <w:p>
            <w:pPr>
              <w:rPr>
                <w:rFonts w:ascii="宋体" w:hAnsi="宋体"/>
                <w:szCs w:val="21"/>
              </w:rPr>
            </w:pPr>
            <w:r>
              <w:rPr>
                <w:rFonts w:hint="eastAsia" w:ascii="宋体" w:hAnsi="宋体"/>
                <w:szCs w:val="21"/>
              </w:rPr>
              <w:t>管理手册中明确了质量、环境管理目标为：</w:t>
            </w:r>
          </w:p>
          <w:p>
            <w:pPr>
              <w:numPr>
                <w:ilvl w:val="0"/>
                <w:numId w:val="1"/>
              </w:numPr>
              <w:spacing w:line="340" w:lineRule="exact"/>
              <w:rPr>
                <w:rFonts w:hint="eastAsia" w:ascii="宋体" w:hAnsi="宋体" w:eastAsia="宋体" w:cs="Times New Roman"/>
                <w:bCs/>
                <w:spacing w:val="10"/>
                <w:kern w:val="2"/>
                <w:sz w:val="21"/>
                <w:szCs w:val="21"/>
                <w:lang w:val="en-US" w:eastAsia="zh-CN" w:bidi="ar-SA"/>
              </w:rPr>
            </w:pPr>
            <w:r>
              <w:rPr>
                <w:rFonts w:hint="eastAsia" w:ascii="宋体" w:hAnsi="宋体" w:eastAsia="宋体" w:cs="Times New Roman"/>
                <w:bCs/>
                <w:spacing w:val="10"/>
                <w:kern w:val="2"/>
                <w:sz w:val="21"/>
                <w:szCs w:val="21"/>
                <w:lang w:val="en-US" w:eastAsia="zh-CN" w:bidi="ar-SA"/>
              </w:rPr>
              <w:t>项目质量合格率：98%以上；</w:t>
            </w:r>
          </w:p>
          <w:p>
            <w:pPr>
              <w:numPr>
                <w:ilvl w:val="0"/>
                <w:numId w:val="1"/>
              </w:numPr>
              <w:spacing w:line="340" w:lineRule="exact"/>
              <w:rPr>
                <w:rFonts w:hint="eastAsia" w:ascii="宋体" w:hAnsi="宋体" w:eastAsia="宋体" w:cs="Times New Roman"/>
                <w:bCs/>
                <w:spacing w:val="10"/>
                <w:kern w:val="2"/>
                <w:sz w:val="21"/>
                <w:szCs w:val="21"/>
                <w:lang w:val="en-US" w:eastAsia="zh-CN" w:bidi="ar-SA"/>
              </w:rPr>
            </w:pPr>
            <w:r>
              <w:rPr>
                <w:rFonts w:hint="eastAsia" w:ascii="宋体" w:hAnsi="宋体" w:eastAsia="宋体" w:cs="Times New Roman"/>
                <w:bCs/>
                <w:spacing w:val="10"/>
                <w:kern w:val="2"/>
                <w:sz w:val="21"/>
                <w:szCs w:val="21"/>
                <w:lang w:val="en-US" w:eastAsia="zh-CN" w:bidi="ar-SA"/>
              </w:rPr>
              <w:t>顾客满意程度：95%以上；</w:t>
            </w:r>
          </w:p>
          <w:p>
            <w:pPr>
              <w:numPr>
                <w:ilvl w:val="0"/>
                <w:numId w:val="1"/>
              </w:numPr>
              <w:spacing w:line="340" w:lineRule="exact"/>
              <w:rPr>
                <w:rFonts w:hint="eastAsia" w:ascii="宋体" w:hAnsi="宋体" w:eastAsia="宋体" w:cs="Times New Roman"/>
                <w:bCs/>
                <w:spacing w:val="10"/>
                <w:kern w:val="2"/>
                <w:sz w:val="21"/>
                <w:szCs w:val="21"/>
                <w:lang w:val="en-US" w:eastAsia="zh-CN" w:bidi="ar-SA"/>
              </w:rPr>
            </w:pPr>
            <w:r>
              <w:rPr>
                <w:rFonts w:hint="eastAsia" w:ascii="宋体" w:hAnsi="宋体" w:eastAsia="宋体" w:cs="Times New Roman"/>
                <w:bCs/>
                <w:spacing w:val="10"/>
                <w:kern w:val="2"/>
                <w:sz w:val="21"/>
                <w:szCs w:val="21"/>
                <w:lang w:val="en-US" w:eastAsia="zh-CN" w:bidi="ar-SA"/>
              </w:rPr>
              <w:t>固体废弃物：分类收集回收率100%；</w:t>
            </w:r>
          </w:p>
          <w:p>
            <w:pPr>
              <w:numPr>
                <w:ilvl w:val="0"/>
                <w:numId w:val="1"/>
              </w:numPr>
              <w:spacing w:line="340" w:lineRule="exact"/>
              <w:rPr>
                <w:rFonts w:hint="eastAsia" w:ascii="宋体" w:hAnsi="宋体" w:eastAsia="宋体" w:cs="Times New Roman"/>
                <w:bCs/>
                <w:spacing w:val="10"/>
                <w:kern w:val="2"/>
                <w:sz w:val="21"/>
                <w:szCs w:val="21"/>
                <w:lang w:val="en-US" w:eastAsia="zh-CN" w:bidi="ar-SA"/>
              </w:rPr>
            </w:pPr>
            <w:r>
              <w:rPr>
                <w:rFonts w:hint="eastAsia" w:ascii="宋体" w:hAnsi="宋体" w:eastAsia="宋体" w:cs="Times New Roman"/>
                <w:bCs/>
                <w:spacing w:val="10"/>
                <w:kern w:val="2"/>
                <w:sz w:val="21"/>
                <w:szCs w:val="21"/>
                <w:lang w:val="en-US" w:eastAsia="zh-CN" w:bidi="ar-SA"/>
              </w:rPr>
              <w:t>环境污染事故发生率为0；</w:t>
            </w:r>
          </w:p>
          <w:p>
            <w:pPr>
              <w:numPr>
                <w:ilvl w:val="0"/>
                <w:numId w:val="1"/>
              </w:numPr>
              <w:spacing w:line="340" w:lineRule="exact"/>
              <w:rPr>
                <w:rFonts w:hint="eastAsia" w:ascii="宋体" w:hAnsi="宋体" w:eastAsia="宋体" w:cs="Times New Roman"/>
                <w:bCs/>
                <w:spacing w:val="10"/>
                <w:kern w:val="2"/>
                <w:sz w:val="21"/>
                <w:szCs w:val="21"/>
                <w:lang w:val="en-US" w:eastAsia="zh-CN" w:bidi="ar-SA"/>
              </w:rPr>
            </w:pPr>
            <w:r>
              <w:rPr>
                <w:rFonts w:hint="eastAsia" w:ascii="宋体" w:hAnsi="宋体" w:eastAsia="宋体" w:cs="Times New Roman"/>
                <w:bCs/>
                <w:spacing w:val="10"/>
                <w:kern w:val="2"/>
                <w:sz w:val="21"/>
                <w:szCs w:val="21"/>
                <w:lang w:val="en-US" w:eastAsia="zh-CN" w:bidi="ar-SA"/>
              </w:rPr>
              <w:t>火灾发生率0 ；</w:t>
            </w:r>
          </w:p>
          <w:p>
            <w:pPr>
              <w:spacing w:line="340" w:lineRule="exact"/>
              <w:ind w:left="420"/>
              <w:rPr>
                <w:rFonts w:hint="eastAsia" w:ascii="宋体" w:hAnsi="宋体"/>
                <w:color w:val="FF0000"/>
                <w:szCs w:val="21"/>
                <w:lang w:val="en-US" w:eastAsia="zh-CN"/>
              </w:rPr>
            </w:pPr>
            <w:r>
              <w:rPr>
                <w:rFonts w:hint="eastAsia" w:ascii="宋体" w:hAnsi="宋体" w:eastAsia="宋体" w:cs="Times New Roman"/>
                <w:bCs/>
                <w:spacing w:val="10"/>
                <w:kern w:val="2"/>
                <w:sz w:val="21"/>
                <w:szCs w:val="21"/>
                <w:lang w:val="en-US" w:eastAsia="zh-CN" w:bidi="ar-SA"/>
              </w:rPr>
              <w:t>6）无重大安全事件发生</w:t>
            </w:r>
          </w:p>
          <w:p>
            <w:pPr>
              <w:pStyle w:val="10"/>
              <w:spacing w:line="240" w:lineRule="auto"/>
              <w:rPr>
                <w:rFonts w:hint="eastAsia" w:asciiTheme="minorEastAsia" w:hAnsiTheme="minorEastAsia" w:eastAsiaTheme="minorEastAsia" w:cstheme="minorEastAsia"/>
                <w:sz w:val="21"/>
                <w:szCs w:val="21"/>
              </w:rPr>
            </w:pPr>
            <w:r>
              <w:rPr>
                <w:rFonts w:hint="eastAsia" w:ascii="宋体" w:hAnsi="宋体"/>
                <w:szCs w:val="21"/>
              </w:rPr>
              <w:t>2019年</w:t>
            </w:r>
            <w:r>
              <w:rPr>
                <w:rFonts w:hint="eastAsia" w:ascii="宋体" w:hAnsi="宋体"/>
                <w:szCs w:val="21"/>
                <w:lang w:val="en-US" w:eastAsia="zh-CN"/>
              </w:rPr>
              <w:t>9</w:t>
            </w:r>
            <w:r>
              <w:rPr>
                <w:rFonts w:hint="eastAsia" w:ascii="宋体" w:hAnsi="宋体"/>
                <w:szCs w:val="21"/>
              </w:rPr>
              <w:t>月至</w:t>
            </w:r>
            <w:r>
              <w:rPr>
                <w:rFonts w:hint="eastAsia" w:ascii="宋体" w:hAnsi="宋体"/>
                <w:szCs w:val="21"/>
                <w:lang w:val="en-US" w:eastAsia="zh-CN"/>
              </w:rPr>
              <w:t>2020年5</w:t>
            </w:r>
            <w:r>
              <w:rPr>
                <w:rFonts w:hint="eastAsia" w:ascii="宋体" w:hAnsi="宋体"/>
                <w:szCs w:val="21"/>
              </w:rPr>
              <w:t>月目标完成情况：均完成。公司的管理目标已分解到相关职能部门。</w:t>
            </w: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rPr>
                <w:rFonts w:hint="eastAsia" w:ascii="宋体" w:hAnsi="宋体"/>
                <w:color w:val="auto"/>
                <w:szCs w:val="21"/>
              </w:rPr>
            </w:pPr>
            <w:r>
              <w:rPr>
                <w:rFonts w:hint="eastAsia" w:ascii="宋体" w:hAnsi="宋体"/>
                <w:color w:val="auto"/>
                <w:szCs w:val="21"/>
              </w:rPr>
              <w:t>体系运行有关的人员</w:t>
            </w:r>
            <w:r>
              <w:rPr>
                <w:rFonts w:hint="eastAsia" w:ascii="宋体" w:hAnsi="宋体"/>
                <w:color w:val="auto"/>
                <w:szCs w:val="21"/>
                <w:lang w:val="en-US" w:eastAsia="zh-CN"/>
              </w:rPr>
              <w:t>40</w:t>
            </w:r>
            <w:r>
              <w:rPr>
                <w:rFonts w:hint="eastAsia" w:ascii="宋体" w:hAnsi="宋体"/>
                <w:color w:val="auto"/>
                <w:szCs w:val="21"/>
              </w:rPr>
              <w:t>人，公司设置了综合部、</w:t>
            </w:r>
            <w:r>
              <w:rPr>
                <w:rFonts w:hint="eastAsia" w:ascii="宋体" w:hAnsi="宋体"/>
                <w:color w:val="auto"/>
                <w:szCs w:val="21"/>
                <w:lang w:val="en-US" w:eastAsia="zh-CN"/>
              </w:rPr>
              <w:t>项目部、工程部</w:t>
            </w:r>
            <w:r>
              <w:rPr>
                <w:rFonts w:hint="eastAsia" w:ascii="宋体" w:hAnsi="宋体"/>
                <w:color w:val="auto"/>
                <w:szCs w:val="21"/>
              </w:rPr>
              <w:t>等职能部门，各部门职责、权限分工明确，包括管理、</w:t>
            </w:r>
            <w:r>
              <w:rPr>
                <w:rFonts w:hint="eastAsia" w:ascii="宋体" w:hAnsi="宋体"/>
                <w:color w:val="auto"/>
                <w:szCs w:val="21"/>
                <w:lang w:val="en-US" w:eastAsia="zh-CN"/>
              </w:rPr>
              <w:t>施工人员、采购、销售人员</w:t>
            </w:r>
            <w:r>
              <w:rPr>
                <w:rFonts w:hint="eastAsia" w:ascii="宋体" w:hAnsi="宋体"/>
                <w:color w:val="auto"/>
                <w:szCs w:val="21"/>
              </w:rPr>
              <w:t>等；公司经营面积</w:t>
            </w:r>
            <w:r>
              <w:rPr>
                <w:rFonts w:hint="eastAsia" w:ascii="宋体" w:hAnsi="宋体"/>
                <w:color w:val="auto"/>
                <w:szCs w:val="21"/>
                <w:lang w:val="en-US" w:eastAsia="zh-CN"/>
              </w:rPr>
              <w:t>200</w:t>
            </w:r>
            <w:r>
              <w:rPr>
                <w:rFonts w:hint="eastAsia" w:ascii="宋体" w:hAnsi="宋体"/>
                <w:color w:val="auto"/>
                <w:szCs w:val="21"/>
              </w:rPr>
              <w:t>平米</w:t>
            </w:r>
            <w:r>
              <w:rPr>
                <w:rFonts w:hint="eastAsia" w:ascii="宋体" w:hAnsi="宋体"/>
                <w:color w:val="auto"/>
                <w:szCs w:val="21"/>
              </w:rPr>
              <w:t>，配备了</w:t>
            </w:r>
            <w:r>
              <w:rPr>
                <w:rFonts w:hint="eastAsia"/>
              </w:rPr>
              <w:t>铁锹、铁镐、手据、园艺剪、割草机、粗枝剪、打草机</w:t>
            </w:r>
            <w:r>
              <w:rPr>
                <w:rFonts w:hint="eastAsia"/>
                <w:lang w:eastAsia="zh-CN"/>
              </w:rPr>
              <w:t>、</w:t>
            </w:r>
            <w:r>
              <w:rPr>
                <w:rFonts w:hint="eastAsia" w:ascii="宋体" w:hAnsi="宋体"/>
                <w:color w:val="auto"/>
                <w:szCs w:val="21"/>
              </w:rPr>
              <w:t>电脑、打印机、网络、办公桌椅等设施；</w:t>
            </w:r>
            <w:r>
              <w:rPr>
                <w:rFonts w:hint="eastAsia" w:ascii="宋体" w:hAnsi="宋体"/>
                <w:color w:val="auto"/>
                <w:szCs w:val="21"/>
                <w:lang w:val="en-US" w:eastAsia="zh-CN"/>
              </w:rPr>
              <w:t>钢卷尺</w:t>
            </w:r>
            <w:r>
              <w:rPr>
                <w:rFonts w:hint="eastAsia" w:ascii="宋体" w:hAnsi="宋体"/>
                <w:color w:val="auto"/>
                <w:szCs w:val="21"/>
              </w:rPr>
              <w:t>等检测设备；以及综合部配置有灭火器等安全辅助设备/设施，以及资金、资源；</w:t>
            </w:r>
          </w:p>
          <w:p>
            <w:pPr>
              <w:rPr>
                <w:rFonts w:ascii="宋体" w:hAnsi="宋体"/>
                <w:color w:val="auto"/>
                <w:szCs w:val="21"/>
              </w:rPr>
            </w:pPr>
            <w:r>
              <w:rPr>
                <w:rFonts w:hint="eastAsia" w:ascii="宋体" w:hAnsi="宋体"/>
                <w:color w:val="auto"/>
                <w:szCs w:val="21"/>
              </w:rPr>
              <w:t>外部资源，如供方、客户等相关方。</w:t>
            </w:r>
          </w:p>
          <w:p>
            <w:pPr>
              <w:pStyle w:val="10"/>
              <w:spacing w:line="240" w:lineRule="auto"/>
              <w:rPr>
                <w:rFonts w:hint="eastAsia" w:ascii="宋体" w:hAnsi="宋体"/>
                <w:color w:val="auto"/>
                <w:szCs w:val="21"/>
              </w:rPr>
            </w:pPr>
            <w:r>
              <w:rPr>
                <w:rFonts w:hint="eastAsia" w:ascii="宋体" w:hAnsi="宋体"/>
                <w:color w:val="auto"/>
                <w:szCs w:val="21"/>
              </w:rPr>
              <w:t>公司所提供的内外部资源基本能满足管理体系运行的需要.</w:t>
            </w:r>
          </w:p>
          <w:p>
            <w:pPr>
              <w:pStyle w:val="10"/>
              <w:spacing w:line="240" w:lineRule="auto"/>
              <w:rPr>
                <w:rFonts w:hint="eastAsia" w:ascii="宋体" w:hAnsi="宋体"/>
                <w:color w:val="auto"/>
                <w:szCs w:val="21"/>
              </w:rPr>
            </w:pPr>
          </w:p>
          <w:p>
            <w:pPr>
              <w:pStyle w:val="10"/>
              <w:spacing w:line="240" w:lineRule="auto"/>
              <w:rPr>
                <w:rFonts w:hint="eastAsia" w:ascii="宋体" w:hAnsi="宋体"/>
                <w:color w:val="auto"/>
                <w:szCs w:val="21"/>
                <w:lang w:val="en-US" w:eastAsia="zh-CN"/>
              </w:rPr>
            </w:pPr>
            <w:r>
              <w:rPr>
                <w:rFonts w:hint="eastAsia" w:ascii="宋体" w:hAnsi="宋体"/>
                <w:color w:val="auto"/>
                <w:szCs w:val="21"/>
                <w:lang w:val="en-US" w:eastAsia="zh-CN"/>
              </w:rPr>
              <w:t>提供管理评审计划、管理评审输入资料，管理评审报告及纠正措施，符合要求。</w:t>
            </w:r>
          </w:p>
          <w:p>
            <w:pPr>
              <w:pStyle w:val="10"/>
              <w:spacing w:line="240" w:lineRule="auto"/>
              <w:rPr>
                <w:rFonts w:hint="default" w:ascii="宋体" w:hAnsi="宋体"/>
                <w:color w:val="auto"/>
                <w:szCs w:val="21"/>
                <w:lang w:val="en-US" w:eastAsia="zh-CN"/>
              </w:rPr>
            </w:pPr>
            <w:r>
              <w:rPr>
                <w:rFonts w:hint="eastAsia" w:ascii="宋体" w:hAnsi="宋体"/>
                <w:color w:val="auto"/>
                <w:szCs w:val="21"/>
                <w:lang w:val="en-US" w:eastAsia="zh-CN"/>
              </w:rPr>
              <w:t>二阶段详细描述</w:t>
            </w:r>
          </w:p>
          <w:p>
            <w:pPr>
              <w:pStyle w:val="10"/>
              <w:spacing w:line="240" w:lineRule="auto"/>
              <w:rPr>
                <w:rFonts w:hint="eastAsia" w:asciiTheme="minorEastAsia" w:hAnsiTheme="minorEastAsia" w:eastAsiaTheme="minorEastAsia" w:cstheme="minorEastAsia"/>
                <w:sz w:val="21"/>
                <w:szCs w:val="21"/>
              </w:rPr>
            </w:pPr>
          </w:p>
          <w:p>
            <w:pPr>
              <w:rPr>
                <w:rFonts w:ascii="宋体" w:hAnsi="宋体"/>
                <w:szCs w:val="21"/>
              </w:rPr>
            </w:pPr>
            <w:r>
              <w:rPr>
                <w:rFonts w:hint="eastAsia" w:ascii="宋体" w:hAnsi="宋体"/>
                <w:szCs w:val="21"/>
              </w:rPr>
              <w:t>未发生</w:t>
            </w:r>
          </w:p>
          <w:p>
            <w:pPr>
              <w:rPr>
                <w:rFonts w:hint="default" w:ascii="宋体" w:hAnsi="宋体" w:eastAsia="宋体"/>
                <w:szCs w:val="21"/>
                <w:lang w:val="en-US" w:eastAsia="zh-CN"/>
              </w:rPr>
            </w:pPr>
            <w:r>
              <w:rPr>
                <w:rFonts w:hint="eastAsia" w:ascii="宋体" w:hAnsi="宋体"/>
                <w:szCs w:val="21"/>
                <w:lang w:val="en-US" w:eastAsia="zh-CN"/>
              </w:rPr>
              <w:t>未发生</w:t>
            </w:r>
          </w:p>
          <w:p>
            <w:pPr>
              <w:rPr>
                <w:rFonts w:ascii="宋体" w:hAnsi="宋体"/>
                <w:szCs w:val="21"/>
              </w:rPr>
            </w:pPr>
            <w:r>
              <w:rPr>
                <w:rFonts w:hint="eastAsia" w:ascii="宋体" w:hAnsi="宋体"/>
                <w:szCs w:val="21"/>
              </w:rPr>
              <w:t>在体系运行期间未发生</w:t>
            </w:r>
          </w:p>
          <w:p>
            <w:pPr>
              <w:rPr>
                <w:rFonts w:ascii="宋体" w:hAnsi="宋体"/>
                <w:szCs w:val="21"/>
              </w:rPr>
            </w:pPr>
            <w:r>
              <w:rPr>
                <w:rFonts w:hint="eastAsia" w:ascii="宋体" w:hAnsi="宋体"/>
                <w:szCs w:val="21"/>
              </w:rPr>
              <w:t>无</w:t>
            </w:r>
          </w:p>
          <w:p>
            <w:pPr>
              <w:pStyle w:val="10"/>
              <w:spacing w:line="240" w:lineRule="auto"/>
              <w:rPr>
                <w:rFonts w:hint="eastAsia" w:asciiTheme="minorEastAsia" w:hAnsiTheme="minorEastAsia" w:eastAsiaTheme="minorEastAsia" w:cstheme="minorEastAsia"/>
                <w:sz w:val="21"/>
                <w:szCs w:val="21"/>
              </w:rPr>
            </w:pPr>
          </w:p>
        </w:tc>
        <w:tc>
          <w:tcPr>
            <w:tcW w:w="1585" w:type="dxa"/>
          </w:tcPr>
          <w:p>
            <w:pPr>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rPr>
            </w:pP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default" w:asciiTheme="minorEastAsia" w:hAnsiTheme="minorEastAsia" w:eastAsiaTheme="minorEastAsia" w:cstheme="minorEastAsia"/>
                <w:sz w:val="21"/>
                <w:szCs w:val="21"/>
                <w:lang w:val="en-US" w:eastAsia="zh-CN"/>
              </w:rPr>
            </w:pPr>
          </w:p>
        </w:tc>
      </w:tr>
    </w:tbl>
    <w:p/>
    <w:p/>
    <w:p>
      <w:pPr>
        <w:pStyle w:val="10"/>
      </w:pPr>
    </w:p>
    <w:p>
      <w:pPr>
        <w:pStyle w:val="10"/>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综合部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审核员：朱晓丽    审核时间：2020年</w:t>
            </w:r>
            <w:r>
              <w:rPr>
                <w:rFonts w:hint="eastAsia"/>
                <w:sz w:val="24"/>
                <w:szCs w:val="24"/>
                <w:lang w:val="en-US" w:eastAsia="zh-CN"/>
              </w:rPr>
              <w:t>6</w:t>
            </w:r>
            <w:r>
              <w:rPr>
                <w:rFonts w:hint="eastAsia"/>
                <w:sz w:val="24"/>
                <w:szCs w:val="24"/>
              </w:rPr>
              <w:t>月</w:t>
            </w:r>
            <w:r>
              <w:rPr>
                <w:rFonts w:hint="eastAsia"/>
                <w:sz w:val="24"/>
                <w:szCs w:val="24"/>
                <w:lang w:val="en-US" w:eastAsia="zh-CN"/>
              </w:rPr>
              <w:t>20</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60" w:lineRule="auto"/>
              <w:rPr>
                <w:sz w:val="24"/>
                <w:szCs w:val="24"/>
              </w:rPr>
            </w:pPr>
            <w:r>
              <w:rPr>
                <w:rFonts w:hint="eastAsia"/>
                <w:sz w:val="24"/>
                <w:szCs w:val="24"/>
              </w:rPr>
              <w:t>审核条款：</w:t>
            </w:r>
            <w:r>
              <w:rPr>
                <w:rFonts w:hint="eastAsia"/>
                <w:sz w:val="21"/>
                <w:szCs w:val="21"/>
                <w:lang w:val="en-US" w:eastAsia="zh-CN"/>
              </w:rPr>
              <w:t>Q</w:t>
            </w:r>
            <w:r>
              <w:rPr>
                <w:rFonts w:hint="eastAsia"/>
                <w:sz w:val="21"/>
                <w:szCs w:val="21"/>
                <w:lang w:eastAsia="zh-CN"/>
              </w:rPr>
              <w:t>：</w:t>
            </w:r>
            <w:r>
              <w:rPr>
                <w:rFonts w:hint="eastAsia"/>
                <w:sz w:val="21"/>
                <w:szCs w:val="21"/>
                <w:lang w:val="en-US" w:eastAsia="zh-CN"/>
              </w:rPr>
              <w:t xml:space="preserve"> 6.1/6.2/7.5</w:t>
            </w:r>
            <w:r>
              <w:rPr>
                <w:rFonts w:hint="eastAsia"/>
                <w:sz w:val="21"/>
                <w:szCs w:val="21"/>
              </w:rPr>
              <w:t>/</w:t>
            </w:r>
            <w:r>
              <w:rPr>
                <w:rFonts w:hint="eastAsia"/>
                <w:sz w:val="21"/>
                <w:szCs w:val="21"/>
                <w:lang w:val="en-US" w:eastAsia="zh-CN"/>
              </w:rPr>
              <w:t>9.2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2160" w:type="dxa"/>
            <w:vAlign w:val="center"/>
          </w:tcPr>
          <w:p>
            <w:r>
              <w:rPr>
                <w:rFonts w:hint="eastAsia"/>
              </w:rPr>
              <w:t>应对风险和机遇的措施</w:t>
            </w:r>
          </w:p>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rPr>
                <w:rFonts w:hint="eastAsia" w:ascii="宋体" w:hAnsi="宋体"/>
                <w:szCs w:val="21"/>
              </w:rPr>
            </w:pPr>
            <w:r>
              <w:rPr>
                <w:rFonts w:hint="eastAsia" w:ascii="宋体" w:hAnsi="宋体"/>
                <w:szCs w:val="21"/>
              </w:rPr>
              <w:t>目标及其实现的策划</w:t>
            </w:r>
          </w:p>
          <w:p>
            <w:pPr>
              <w:pStyle w:val="10"/>
              <w:rPr>
                <w:rFonts w:hint="eastAsia" w:ascii="宋体" w:hAnsi="宋体"/>
                <w:szCs w:val="21"/>
              </w:rPr>
            </w:pPr>
          </w:p>
          <w:p>
            <w:pPr>
              <w:pStyle w:val="10"/>
              <w:rPr>
                <w:rFonts w:hint="eastAsia" w:ascii="宋体" w:hAnsi="宋体"/>
                <w:szCs w:val="21"/>
              </w:rPr>
            </w:pPr>
          </w:p>
          <w:p>
            <w:pPr>
              <w:pStyle w:val="10"/>
              <w:rPr>
                <w:rFonts w:hint="eastAsia" w:ascii="宋体" w:hAnsi="宋体"/>
                <w:szCs w:val="21"/>
              </w:rPr>
            </w:pPr>
          </w:p>
          <w:p>
            <w:pPr>
              <w:pStyle w:val="10"/>
              <w:rPr>
                <w:rFonts w:hint="eastAsia" w:ascii="宋体" w:hAnsi="宋体"/>
                <w:szCs w:val="21"/>
              </w:rPr>
            </w:pPr>
          </w:p>
          <w:p>
            <w:pPr>
              <w:pStyle w:val="10"/>
              <w:rPr>
                <w:rFonts w:hint="eastAsia" w:ascii="宋体" w:hAnsi="宋体"/>
                <w:szCs w:val="21"/>
              </w:rPr>
            </w:pPr>
          </w:p>
          <w:p>
            <w:pPr>
              <w:pStyle w:val="10"/>
              <w:rPr>
                <w:rFonts w:hint="eastAsia" w:ascii="宋体" w:hAnsi="宋体"/>
                <w:szCs w:val="21"/>
              </w:rPr>
            </w:pPr>
          </w:p>
          <w:p>
            <w:pPr>
              <w:pStyle w:val="10"/>
              <w:rPr>
                <w:rFonts w:hint="eastAsia" w:ascii="宋体" w:hAnsi="宋体"/>
                <w:szCs w:val="21"/>
              </w:rPr>
            </w:pPr>
            <w:r>
              <w:rPr>
                <w:rFonts w:hint="eastAsia" w:ascii="宋体" w:hAnsi="宋体"/>
                <w:lang w:val="en-US" w:eastAsia="zh-CN"/>
              </w:rPr>
              <w:t>成文信息</w:t>
            </w:r>
          </w:p>
          <w:p>
            <w:pPr>
              <w:pStyle w:val="10"/>
              <w:rPr>
                <w:rFonts w:hint="eastAsia" w:ascii="宋体" w:hAnsi="宋体"/>
                <w:szCs w:val="21"/>
              </w:rPr>
            </w:pPr>
          </w:p>
          <w:p>
            <w:pPr>
              <w:pStyle w:val="10"/>
              <w:rPr>
                <w:rFonts w:hint="eastAsia" w:ascii="宋体" w:hAnsi="宋体"/>
                <w:szCs w:val="21"/>
              </w:rPr>
            </w:pPr>
          </w:p>
          <w:p>
            <w:pPr>
              <w:pStyle w:val="10"/>
              <w:rPr>
                <w:rFonts w:hint="eastAsia" w:ascii="宋体" w:hAnsi="宋体"/>
                <w:szCs w:val="21"/>
              </w:rPr>
            </w:pPr>
          </w:p>
          <w:p>
            <w:pPr>
              <w:pStyle w:val="10"/>
              <w:rPr>
                <w:rFonts w:hint="eastAsia" w:ascii="宋体" w:hAnsi="宋体"/>
                <w:szCs w:val="21"/>
              </w:rPr>
            </w:pPr>
          </w:p>
          <w:p>
            <w:pPr>
              <w:pStyle w:val="10"/>
              <w:rPr>
                <w:rFonts w:hint="eastAsia" w:ascii="宋体" w:hAnsi="宋体"/>
                <w:szCs w:val="21"/>
              </w:rPr>
            </w:pPr>
          </w:p>
          <w:p>
            <w:pPr>
              <w:pStyle w:val="10"/>
              <w:rPr>
                <w:rFonts w:hint="eastAsia" w:ascii="宋体" w:hAnsi="宋体"/>
                <w:szCs w:val="21"/>
              </w:rPr>
            </w:pPr>
          </w:p>
          <w:p>
            <w:pPr>
              <w:pStyle w:val="10"/>
              <w:rPr>
                <w:rFonts w:hint="eastAsia" w:ascii="宋体" w:hAnsi="宋体"/>
                <w:szCs w:val="21"/>
              </w:rPr>
            </w:pPr>
          </w:p>
          <w:p>
            <w:pPr>
              <w:pStyle w:val="10"/>
              <w:rPr>
                <w:rFonts w:hint="eastAsia" w:ascii="宋体" w:hAnsi="宋体"/>
                <w:szCs w:val="21"/>
              </w:rPr>
            </w:pPr>
          </w:p>
          <w:p>
            <w:pPr>
              <w:pStyle w:val="10"/>
              <w:rPr>
                <w:rFonts w:hint="eastAsia" w:ascii="宋体" w:hAnsi="宋体"/>
                <w:szCs w:val="21"/>
              </w:rPr>
            </w:pPr>
          </w:p>
          <w:p>
            <w:pPr>
              <w:pStyle w:val="10"/>
              <w:rPr>
                <w:rFonts w:hint="eastAsia" w:ascii="宋体" w:hAnsi="宋体"/>
                <w:szCs w:val="21"/>
              </w:rPr>
            </w:pPr>
          </w:p>
          <w:p>
            <w:pPr>
              <w:pStyle w:val="10"/>
              <w:rPr>
                <w:rFonts w:hint="eastAsia" w:ascii="宋体" w:hAnsi="宋体"/>
                <w:szCs w:val="21"/>
              </w:rPr>
            </w:pPr>
          </w:p>
          <w:p>
            <w:pPr>
              <w:pStyle w:val="10"/>
              <w:rPr>
                <w:rFonts w:hint="eastAsia" w:ascii="宋体" w:hAnsi="宋体"/>
                <w:szCs w:val="21"/>
              </w:rPr>
            </w:pPr>
            <w:r>
              <w:rPr>
                <w:rFonts w:hint="eastAsia" w:ascii="Tahoma" w:hAnsi="Tahoma" w:cs="Tahoma"/>
                <w:szCs w:val="21"/>
              </w:rPr>
              <w:t>内部审核实施及有效性</w:t>
            </w:r>
          </w:p>
        </w:tc>
        <w:tc>
          <w:tcPr>
            <w:tcW w:w="960" w:type="dxa"/>
            <w:vAlign w:val="center"/>
          </w:tcPr>
          <w:p>
            <w:pPr>
              <w:rPr>
                <w:rFonts w:hint="eastAsia"/>
                <w:lang w:val="en-US" w:eastAsia="zh-CN"/>
              </w:rPr>
            </w:pPr>
            <w:r>
              <w:rPr>
                <w:rFonts w:hint="eastAsia"/>
                <w:lang w:val="en-US" w:eastAsia="zh-CN"/>
              </w:rPr>
              <w:t>Q6.1</w:t>
            </w: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Q6.2</w:t>
            </w: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p>
          <w:p>
            <w:pPr>
              <w:pStyle w:val="10"/>
              <w:rPr>
                <w:rFonts w:hint="default"/>
                <w:lang w:val="en-US" w:eastAsia="zh-CN"/>
              </w:rPr>
            </w:pPr>
            <w:r>
              <w:rPr>
                <w:rFonts w:hint="eastAsia"/>
                <w:lang w:val="en-US" w:eastAsia="zh-CN"/>
              </w:rPr>
              <w:t>Q7.5</w:t>
            </w: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r>
              <w:rPr>
                <w:rFonts w:hint="eastAsia"/>
                <w:lang w:val="en-US" w:eastAsia="zh-CN"/>
              </w:rPr>
              <w:t>Q9.2</w:t>
            </w:r>
          </w:p>
          <w:p>
            <w:pPr>
              <w:pStyle w:val="10"/>
              <w:rPr>
                <w:rFonts w:hint="default"/>
                <w:lang w:val="en-US" w:eastAsia="zh-CN"/>
              </w:rPr>
            </w:pPr>
          </w:p>
        </w:tc>
        <w:tc>
          <w:tcPr>
            <w:tcW w:w="10004" w:type="dxa"/>
            <w:vAlign w:val="center"/>
          </w:tcPr>
          <w:p>
            <w:pPr>
              <w:tabs>
                <w:tab w:val="left" w:pos="7380"/>
              </w:tabs>
            </w:pPr>
            <w:r>
              <w:rPr>
                <w:rFonts w:hint="eastAsia"/>
              </w:rPr>
              <w:t>企业有对风险和机遇的措施进行了识别和控制：</w:t>
            </w:r>
          </w:p>
          <w:p>
            <w:pPr>
              <w:tabs>
                <w:tab w:val="left" w:pos="7380"/>
              </w:tabs>
            </w:pPr>
            <w:r>
              <w:rPr>
                <w:rFonts w:hint="eastAsia"/>
              </w:rPr>
              <w:t>1、企业在经营管理过程中即存在机遇，同时也存在着风险。有建立识别风险与机遇的过程和方法，并识别了产品整个生命周期所有影响产品符合性、影响增强顾客满意的能力和环境影响有关的的风险源，并对这些潜在的风险进行识别、评价，并采取必要的措施，以尽可能将风险转化为机遇。</w:t>
            </w:r>
          </w:p>
          <w:p>
            <w:pPr>
              <w:adjustRightInd w:val="0"/>
              <w:snapToGrid w:val="0"/>
              <w:spacing w:line="360" w:lineRule="auto"/>
              <w:rPr>
                <w:rFonts w:hint="eastAsia"/>
              </w:rPr>
            </w:pPr>
            <w:r>
              <w:rPr>
                <w:rFonts w:hint="eastAsia"/>
              </w:rPr>
              <w:t>2、企业识别的主要风险包括合同风险、重大法律纠纷、违约及信誉不良等情况后未能采取相应的措施，未经允许客户信息的意外泄漏等。财务风险：资金回笼过程中的风险，合同应收款无法及时到位；市场竞争激烈，恶性竞争等不良社会影响；产品质量方面的风险，产品质量验收不合格，导致退货等；重要环境因素运行控制不当造成的风险，如意外火灾；危险废弃物(硒鼓/墨盒/色带/日光灯等) 控制不当；合规义务风险：适用的法律法规收不全、不及时、不了解导致违规行为的发生等。企业在确定这些风险和机遇时，有考虑内外部因素及合同方（供方、顾客)的要求。抽查针对废弃物(硒鼓/墨盒/色带/日光灯等) 控制不当造成的风险的应对措施：严格按固废控制要求做好固废分类管理，做好固废处置情况登记工作，归口部门加强日常监督检查等；组织开展内部技术交流，培训更多骨干。相关人员讨论，联系参观、交流活动等。</w:t>
            </w:r>
          </w:p>
          <w:p>
            <w:pPr>
              <w:pStyle w:val="10"/>
              <w:rPr>
                <w:rFonts w:hint="eastAsia" w:ascii="宋体" w:hAnsi="宋体"/>
                <w:szCs w:val="21"/>
              </w:rPr>
            </w:pPr>
          </w:p>
          <w:p>
            <w:pPr>
              <w:pStyle w:val="17"/>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培训计划达成率100%；</w:t>
            </w:r>
          </w:p>
          <w:p>
            <w:pPr>
              <w:pStyle w:val="17"/>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合同评审100%。</w:t>
            </w:r>
          </w:p>
          <w:p>
            <w:pPr>
              <w:pStyle w:val="17"/>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 xml:space="preserve">顾客满意率达到≥95% </w:t>
            </w:r>
          </w:p>
          <w:p>
            <w:pPr>
              <w:pStyle w:val="10"/>
              <w:rPr>
                <w:rFonts w:hint="eastAsia" w:ascii="宋体" w:hAnsi="宋体"/>
                <w:szCs w:val="21"/>
              </w:rPr>
            </w:pPr>
            <w:r>
              <w:rPr>
                <w:rFonts w:hint="eastAsia" w:ascii="宋体" w:hAnsi="宋体"/>
                <w:szCs w:val="21"/>
              </w:rPr>
              <w:t>2019年</w:t>
            </w:r>
            <w:r>
              <w:rPr>
                <w:rFonts w:hint="eastAsia" w:ascii="宋体" w:hAnsi="宋体"/>
                <w:szCs w:val="21"/>
                <w:lang w:val="en-US" w:eastAsia="zh-CN"/>
              </w:rPr>
              <w:t>9</w:t>
            </w:r>
            <w:r>
              <w:rPr>
                <w:rFonts w:hint="eastAsia" w:ascii="宋体" w:hAnsi="宋体"/>
                <w:szCs w:val="21"/>
              </w:rPr>
              <w:t>月至</w:t>
            </w:r>
            <w:r>
              <w:rPr>
                <w:rFonts w:hint="eastAsia" w:ascii="宋体" w:hAnsi="宋体"/>
                <w:szCs w:val="21"/>
                <w:lang w:val="en-US" w:eastAsia="zh-CN"/>
              </w:rPr>
              <w:t>2020年5</w:t>
            </w:r>
            <w:r>
              <w:rPr>
                <w:rFonts w:hint="eastAsia" w:ascii="宋体" w:hAnsi="宋体"/>
                <w:szCs w:val="21"/>
              </w:rPr>
              <w:t>月目标完成情况： 均完成</w:t>
            </w:r>
          </w:p>
          <w:p>
            <w:pPr>
              <w:pStyle w:val="10"/>
              <w:rPr>
                <w:rFonts w:hint="eastAsia" w:ascii="宋体" w:hAnsi="宋体"/>
                <w:szCs w:val="21"/>
              </w:rPr>
            </w:pPr>
          </w:p>
          <w:p>
            <w:pPr>
              <w:pStyle w:val="10"/>
              <w:rPr>
                <w:rFonts w:hint="eastAsia" w:ascii="宋体" w:hAnsi="宋体"/>
                <w:szCs w:val="21"/>
              </w:rPr>
            </w:pPr>
          </w:p>
          <w:p>
            <w:pPr>
              <w:tabs>
                <w:tab w:val="left" w:pos="7380"/>
              </w:tabs>
              <w:rPr>
                <w:rFonts w:ascii="宋体" w:hAnsi="宋体"/>
                <w:szCs w:val="21"/>
              </w:rPr>
            </w:pPr>
            <w:r>
              <w:rPr>
                <w:rFonts w:hint="eastAsia" w:ascii="宋体" w:hAnsi="宋体"/>
                <w:szCs w:val="21"/>
              </w:rPr>
              <w:t>执行公司《成文信息控制程序》</w:t>
            </w:r>
          </w:p>
          <w:p>
            <w:pPr>
              <w:tabs>
                <w:tab w:val="left" w:pos="7380"/>
              </w:tabs>
              <w:rPr>
                <w:rFonts w:ascii="宋体" w:hAnsi="宋体"/>
                <w:szCs w:val="21"/>
              </w:rPr>
            </w:pPr>
            <w:r>
              <w:rPr>
                <w:rFonts w:hint="eastAsia" w:ascii="宋体" w:hAnsi="宋体"/>
                <w:szCs w:val="21"/>
              </w:rPr>
              <w:t>管理体系文件包括：管理手册、程序文件、作业文件、外来文件、各类记录等。已建立“受控文件清单”。</w:t>
            </w:r>
          </w:p>
          <w:p>
            <w:pPr>
              <w:tabs>
                <w:tab w:val="left" w:pos="7380"/>
              </w:tabs>
              <w:rPr>
                <w:rFonts w:ascii="宋体" w:hAnsi="宋体"/>
                <w:szCs w:val="21"/>
              </w:rPr>
            </w:pPr>
            <w:r>
              <w:rPr>
                <w:rFonts w:hint="eastAsia" w:ascii="宋体" w:hAnsi="宋体"/>
                <w:szCs w:val="21"/>
              </w:rPr>
              <w:t>查：公司《管理手册》、《程序文件》为依据ISO9001:2015、ISO14001:2015版标准编制发布实施。</w:t>
            </w:r>
          </w:p>
          <w:p>
            <w:pPr>
              <w:tabs>
                <w:tab w:val="left" w:pos="7380"/>
              </w:tabs>
              <w:rPr>
                <w:rFonts w:ascii="宋体" w:hAnsi="宋体"/>
                <w:szCs w:val="21"/>
              </w:rPr>
            </w:pPr>
            <w:r>
              <w:rPr>
                <w:rFonts w:hint="eastAsia" w:ascii="宋体" w:hAnsi="宋体"/>
                <w:szCs w:val="21"/>
              </w:rPr>
              <w:t>由管理者代表审核，总经理批准后发布。</w:t>
            </w:r>
          </w:p>
          <w:p>
            <w:pPr>
              <w:tabs>
                <w:tab w:val="left" w:pos="7380"/>
              </w:tabs>
              <w:rPr>
                <w:rFonts w:ascii="宋体" w:hAnsi="宋体"/>
                <w:szCs w:val="21"/>
              </w:rPr>
            </w:pPr>
            <w:r>
              <w:rPr>
                <w:rFonts w:hint="eastAsia" w:ascii="宋体" w:hAnsi="宋体"/>
                <w:szCs w:val="21"/>
              </w:rPr>
              <w:t>查：“文件发放记录”，内容涵盖：序号、名称、接收人、版本状态、</w:t>
            </w:r>
            <w:r>
              <w:rPr>
                <w:rFonts w:hint="eastAsia"/>
                <w:szCs w:val="21"/>
              </w:rPr>
              <w:t>日期</w:t>
            </w:r>
            <w:r>
              <w:rPr>
                <w:rFonts w:hint="eastAsia" w:ascii="宋体" w:hAnsi="宋体"/>
                <w:szCs w:val="21"/>
              </w:rPr>
              <w:t xml:space="preserve">等。 </w:t>
            </w:r>
          </w:p>
          <w:p>
            <w:pPr>
              <w:tabs>
                <w:tab w:val="left" w:pos="7380"/>
              </w:tabs>
              <w:rPr>
                <w:rFonts w:ascii="宋体" w:hAnsi="宋体"/>
                <w:szCs w:val="21"/>
              </w:rPr>
            </w:pPr>
            <w:r>
              <w:rPr>
                <w:rFonts w:hint="eastAsia" w:ascii="宋体" w:hAnsi="宋体"/>
                <w:szCs w:val="21"/>
              </w:rPr>
              <w:t>管理手册、程序文件、作业文件已发放各部门，有签收部门确认。</w:t>
            </w:r>
          </w:p>
          <w:p>
            <w:pPr>
              <w:tabs>
                <w:tab w:val="left" w:pos="7380"/>
              </w:tabs>
              <w:rPr>
                <w:rFonts w:ascii="宋体" w:hAnsi="宋体"/>
                <w:szCs w:val="21"/>
              </w:rPr>
            </w:pPr>
            <w:r>
              <w:rPr>
                <w:rFonts w:hint="eastAsia" w:ascii="宋体" w:hAnsi="宋体"/>
                <w:szCs w:val="21"/>
              </w:rPr>
              <w:t>规定对所有失效文件，从使用场所回收并填写《文件销毁申请单》经总经理批准后要加盖“作废”印章，统一销毁。</w:t>
            </w:r>
          </w:p>
          <w:p>
            <w:pPr>
              <w:tabs>
                <w:tab w:val="left" w:pos="7380"/>
              </w:tabs>
              <w:rPr>
                <w:rFonts w:ascii="宋体" w:hAnsi="宋体"/>
                <w:szCs w:val="21"/>
              </w:rPr>
            </w:pPr>
            <w:r>
              <w:rPr>
                <w:rFonts w:hint="eastAsia" w:ascii="宋体" w:hAnsi="宋体"/>
                <w:szCs w:val="21"/>
              </w:rPr>
              <w:t>文件更改采用局部修改、换页、换版等方式。</w:t>
            </w:r>
          </w:p>
          <w:p>
            <w:pPr>
              <w:tabs>
                <w:tab w:val="left" w:pos="7380"/>
              </w:tabs>
              <w:rPr>
                <w:rFonts w:ascii="宋体" w:hAnsi="宋体"/>
                <w:szCs w:val="21"/>
              </w:rPr>
            </w:pPr>
            <w:r>
              <w:rPr>
                <w:rFonts w:hint="eastAsia" w:ascii="宋体" w:hAnsi="宋体"/>
                <w:szCs w:val="21"/>
              </w:rPr>
              <w:t>查：有“外来文件清单”记录了《环境保护法》等外来文件，控制分发，有专人负责。</w:t>
            </w:r>
          </w:p>
          <w:p>
            <w:pPr>
              <w:tabs>
                <w:tab w:val="left" w:pos="7380"/>
              </w:tabs>
              <w:rPr>
                <w:rFonts w:ascii="宋体" w:hAnsi="宋体"/>
                <w:szCs w:val="21"/>
              </w:rPr>
            </w:pPr>
            <w:r>
              <w:rPr>
                <w:rFonts w:hint="eastAsia" w:ascii="宋体" w:hAnsi="宋体"/>
                <w:szCs w:val="21"/>
              </w:rPr>
              <w:t>已建立“记录清单”内容含盖：序号、记录名称、记录编号、保存期限。</w:t>
            </w:r>
          </w:p>
          <w:p>
            <w:pPr>
              <w:pStyle w:val="10"/>
              <w:rPr>
                <w:rFonts w:hint="eastAsia" w:ascii="宋体" w:hAnsi="宋体"/>
                <w:szCs w:val="21"/>
              </w:rPr>
            </w:pPr>
            <w:r>
              <w:rPr>
                <w:rFonts w:hint="eastAsia" w:ascii="宋体" w:hAnsi="宋体"/>
                <w:szCs w:val="21"/>
              </w:rPr>
              <w:t>现场查看，文件、记录保持清晰，保存完好。</w:t>
            </w:r>
          </w:p>
          <w:p>
            <w:pPr>
              <w:pStyle w:val="10"/>
              <w:rPr>
                <w:rFonts w:hint="eastAsia" w:ascii="宋体" w:hAnsi="宋体"/>
                <w:szCs w:val="21"/>
              </w:rPr>
            </w:pPr>
          </w:p>
          <w:p>
            <w:pPr>
              <w:tabs>
                <w:tab w:val="left" w:pos="7380"/>
              </w:tabs>
              <w:rPr>
                <w:rFonts w:ascii="宋体" w:hAnsi="宋体"/>
                <w:szCs w:val="21"/>
              </w:rPr>
            </w:pPr>
            <w:r>
              <w:rPr>
                <w:rFonts w:hint="eastAsia" w:ascii="宋体" w:hAnsi="宋体"/>
                <w:szCs w:val="21"/>
              </w:rPr>
              <w:t>公司制定了《内部审核控制程序》，文件规定每年至少进行一次内部审核，间隔时间不超过12个月。规定了审核的策划、实施、形成记录以及报告结果的要求。</w:t>
            </w:r>
          </w:p>
          <w:p>
            <w:pPr>
              <w:tabs>
                <w:tab w:val="left" w:pos="7380"/>
              </w:tabs>
              <w:rPr>
                <w:rFonts w:ascii="宋体" w:hAnsi="宋体"/>
                <w:szCs w:val="21"/>
              </w:rPr>
            </w:pPr>
            <w:r>
              <w:rPr>
                <w:rFonts w:hint="eastAsia" w:ascii="宋体" w:hAnsi="宋体"/>
                <w:szCs w:val="21"/>
              </w:rPr>
              <w:t>提供了《审核实施计划》，审核目的，范围、依据、审核时间、受审部门、日程安排、审核组长和成员等内容。</w:t>
            </w:r>
          </w:p>
          <w:p>
            <w:pPr>
              <w:tabs>
                <w:tab w:val="left" w:pos="7380"/>
              </w:tabs>
              <w:rPr>
                <w:rFonts w:ascii="宋体" w:hAnsi="宋体"/>
                <w:szCs w:val="21"/>
              </w:rPr>
            </w:pPr>
            <w:r>
              <w:rPr>
                <w:rFonts w:hint="eastAsia" w:ascii="宋体" w:hAnsi="宋体"/>
                <w:szCs w:val="21"/>
              </w:rPr>
              <w:t>内审时间：</w:t>
            </w:r>
            <w:r>
              <w:rPr>
                <w:rFonts w:hint="eastAsia" w:ascii="宋体" w:hAnsi="宋体"/>
                <w:szCs w:val="21"/>
                <w:lang w:eastAsia="zh-CN"/>
              </w:rPr>
              <w:t>2019年12月10日</w:t>
            </w:r>
          </w:p>
          <w:p>
            <w:pPr>
              <w:tabs>
                <w:tab w:val="left" w:pos="7380"/>
              </w:tabs>
              <w:rPr>
                <w:rFonts w:ascii="宋体" w:hAnsi="宋体"/>
                <w:szCs w:val="21"/>
              </w:rPr>
            </w:pPr>
            <w:r>
              <w:rPr>
                <w:rFonts w:hint="eastAsia" w:ascii="宋体" w:hAnsi="宋体"/>
                <w:szCs w:val="21"/>
              </w:rPr>
              <w:t>依据ISO9001:2015\ISO14001:2015版标准。</w:t>
            </w:r>
          </w:p>
          <w:p>
            <w:pPr>
              <w:tabs>
                <w:tab w:val="left" w:pos="7380"/>
              </w:tabs>
              <w:rPr>
                <w:rFonts w:ascii="宋体" w:hAnsi="宋体"/>
                <w:szCs w:val="21"/>
              </w:rPr>
            </w:pPr>
            <w:r>
              <w:rPr>
                <w:rFonts w:hint="eastAsia" w:ascii="宋体" w:hAnsi="宋体"/>
                <w:szCs w:val="21"/>
              </w:rPr>
              <w:t>计划由总经理批准后实施。</w:t>
            </w:r>
          </w:p>
          <w:p>
            <w:pPr>
              <w:tabs>
                <w:tab w:val="left" w:pos="7380"/>
              </w:tabs>
              <w:rPr>
                <w:rFonts w:ascii="宋体" w:hAnsi="宋体"/>
                <w:szCs w:val="21"/>
              </w:rPr>
            </w:pPr>
            <w:r>
              <w:rPr>
                <w:rFonts w:hint="eastAsia" w:ascii="宋体" w:hAnsi="宋体"/>
                <w:szCs w:val="21"/>
              </w:rPr>
              <w:t>公司按计划实施了内审。</w:t>
            </w:r>
          </w:p>
          <w:p>
            <w:pPr>
              <w:tabs>
                <w:tab w:val="left" w:pos="7380"/>
              </w:tabs>
              <w:rPr>
                <w:rFonts w:ascii="宋体" w:hAnsi="宋体"/>
                <w:szCs w:val="21"/>
              </w:rPr>
            </w:pPr>
            <w:r>
              <w:rPr>
                <w:rFonts w:hint="eastAsia" w:ascii="宋体" w:hAnsi="宋体"/>
                <w:szCs w:val="21"/>
              </w:rPr>
              <w:t>内审员：李蔚彧、安杰</w:t>
            </w:r>
            <w:r>
              <w:rPr>
                <w:rFonts w:hint="eastAsia" w:ascii="宋体" w:hAnsi="宋体"/>
                <w:szCs w:val="21"/>
                <w:lang w:eastAsia="zh-CN"/>
              </w:rPr>
              <w:t>；</w:t>
            </w:r>
            <w:r>
              <w:rPr>
                <w:rFonts w:hint="eastAsia" w:ascii="宋体" w:hAnsi="宋体"/>
                <w:szCs w:val="21"/>
              </w:rPr>
              <w:t>提供内审员任命书。</w:t>
            </w:r>
          </w:p>
          <w:p>
            <w:pPr>
              <w:tabs>
                <w:tab w:val="left" w:pos="7380"/>
              </w:tabs>
              <w:rPr>
                <w:rFonts w:ascii="宋体" w:hAnsi="宋体"/>
                <w:szCs w:val="21"/>
              </w:rPr>
            </w:pPr>
            <w:r>
              <w:rPr>
                <w:rFonts w:hint="eastAsia" w:ascii="宋体" w:hAnsi="宋体"/>
                <w:szCs w:val="21"/>
              </w:rPr>
              <w:t xml:space="preserve">内审员的安排考虑了审核过程的客观性和公正性，没有发现自己审核本部门的情况。  </w:t>
            </w:r>
          </w:p>
          <w:p>
            <w:pPr>
              <w:tabs>
                <w:tab w:val="left" w:pos="7380"/>
              </w:tabs>
              <w:rPr>
                <w:rFonts w:ascii="宋体" w:hAnsi="宋体"/>
                <w:szCs w:val="21"/>
              </w:rPr>
            </w:pPr>
            <w:r>
              <w:rPr>
                <w:rFonts w:hint="eastAsia" w:ascii="宋体" w:hAnsi="宋体"/>
                <w:szCs w:val="21"/>
              </w:rPr>
              <w:t>提供了内审检查表。内审不符合1项，已整改验收合格。内审报告显示本公司的管理体系均运行良好。</w:t>
            </w:r>
          </w:p>
          <w:p>
            <w:pPr>
              <w:pStyle w:val="10"/>
              <w:rPr>
                <w:rFonts w:hint="eastAsia" w:ascii="宋体" w:hAnsi="宋体"/>
                <w:szCs w:val="21"/>
              </w:rPr>
            </w:pPr>
            <w:r>
              <w:rPr>
                <w:rFonts w:hint="eastAsia" w:ascii="宋体" w:hAnsi="宋体"/>
                <w:szCs w:val="21"/>
              </w:rPr>
              <w:t>策划安排基本符合程序要求。</w:t>
            </w:r>
          </w:p>
          <w:p>
            <w:pPr>
              <w:pStyle w:val="10"/>
              <w:rPr>
                <w:rFonts w:hint="eastAsia" w:ascii="宋体" w:hAnsi="宋体"/>
                <w:szCs w:val="21"/>
              </w:rPr>
            </w:pPr>
          </w:p>
        </w:tc>
        <w:tc>
          <w:tcPr>
            <w:tcW w:w="1585" w:type="dxa"/>
          </w:tcPr>
          <w:p>
            <w:pPr>
              <w:rPr>
                <w:rFonts w:hint="eastAsia"/>
                <w:lang w:val="en-US" w:eastAsia="zh-CN"/>
              </w:rPr>
            </w:pPr>
            <w:r>
              <w:rPr>
                <w:rFonts w:hint="eastAsia"/>
                <w:lang w:val="en-US" w:eastAsia="zh-CN"/>
              </w:rPr>
              <w:t>Y</w:t>
            </w: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r>
              <w:rPr>
                <w:rFonts w:hint="eastAsia"/>
                <w:lang w:val="en-US" w:eastAsia="zh-CN"/>
              </w:rPr>
              <w:t>Y</w:t>
            </w: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Y</w:t>
            </w: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r>
              <w:rPr>
                <w:rFonts w:hint="eastAsia"/>
                <w:lang w:val="en-US" w:eastAsia="zh-CN"/>
              </w:rPr>
              <w:t>Y</w:t>
            </w:r>
          </w:p>
          <w:p>
            <w:pPr>
              <w:pStyle w:val="10"/>
              <w:rPr>
                <w:rFonts w:hint="default"/>
                <w:lang w:val="en-US" w:eastAsia="zh-CN"/>
              </w:rPr>
            </w:pPr>
          </w:p>
        </w:tc>
      </w:tr>
    </w:tbl>
    <w:p>
      <w:pPr>
        <w:pStyle w:val="10"/>
      </w:pPr>
    </w:p>
    <w:p>
      <w:pPr>
        <w:pStyle w:val="10"/>
      </w:pPr>
    </w:p>
    <w:p>
      <w:pPr>
        <w:pStyle w:val="10"/>
      </w:pPr>
    </w:p>
    <w:p>
      <w:pPr>
        <w:pStyle w:val="10"/>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工程部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审核员：朱晓丽    审核时间：2020年</w:t>
            </w:r>
            <w:r>
              <w:rPr>
                <w:rFonts w:hint="eastAsia"/>
                <w:sz w:val="24"/>
                <w:szCs w:val="24"/>
                <w:lang w:val="en-US" w:eastAsia="zh-CN"/>
              </w:rPr>
              <w:t>6</w:t>
            </w:r>
            <w:r>
              <w:rPr>
                <w:rFonts w:hint="eastAsia"/>
                <w:sz w:val="24"/>
                <w:szCs w:val="24"/>
              </w:rPr>
              <w:t>月</w:t>
            </w:r>
            <w:r>
              <w:rPr>
                <w:rFonts w:hint="eastAsia"/>
                <w:sz w:val="24"/>
                <w:szCs w:val="24"/>
                <w:lang w:val="en-US" w:eastAsia="zh-CN"/>
              </w:rPr>
              <w:t>20</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60" w:lineRule="auto"/>
              <w:rPr>
                <w:rFonts w:hint="eastAsia" w:eastAsia="宋体"/>
                <w:sz w:val="24"/>
                <w:szCs w:val="24"/>
                <w:lang w:val="en-US" w:eastAsia="zh-CN"/>
              </w:rPr>
            </w:pPr>
            <w:r>
              <w:rPr>
                <w:rFonts w:hint="eastAsia"/>
                <w:sz w:val="24"/>
                <w:szCs w:val="24"/>
              </w:rPr>
              <w:t>审核条款：Q</w:t>
            </w:r>
            <w:r>
              <w:rPr>
                <w:rFonts w:hint="eastAsia"/>
                <w:sz w:val="24"/>
                <w:szCs w:val="24"/>
                <w:lang w:eastAsia="zh-CN"/>
              </w:rPr>
              <w:t>（</w:t>
            </w:r>
            <w:r>
              <w:rPr>
                <w:rFonts w:hint="eastAsia"/>
                <w:sz w:val="24"/>
                <w:szCs w:val="24"/>
                <w:lang w:val="en-US" w:eastAsia="zh-CN"/>
              </w:rPr>
              <w:t>销售）</w:t>
            </w:r>
            <w:r>
              <w:rPr>
                <w:rFonts w:hint="eastAsia"/>
                <w:sz w:val="24"/>
                <w:szCs w:val="24"/>
              </w:rPr>
              <w:t>7.1.3/7.1.4/7.1.5/8.1/8.5.1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2160" w:type="dxa"/>
            <w:vAlign w:val="center"/>
          </w:tcPr>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基础设施/过程</w:t>
            </w: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运行环境</w:t>
            </w: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监视测量设备</w:t>
            </w: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运行策划和控制</w:t>
            </w: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销售和服务提供的控制</w:t>
            </w:r>
          </w:p>
          <w:p>
            <w:pPr>
              <w:pStyle w:val="10"/>
              <w:spacing w:line="240" w:lineRule="auto"/>
              <w:rPr>
                <w:rFonts w:hint="eastAsia" w:asciiTheme="minorEastAsia" w:hAnsiTheme="minorEastAsia" w:eastAsiaTheme="minorEastAsia" w:cstheme="minorEastAsia"/>
                <w:sz w:val="21"/>
                <w:szCs w:val="21"/>
                <w:lang w:val="en-US" w:eastAsia="zh-CN"/>
              </w:rPr>
            </w:pPr>
          </w:p>
        </w:tc>
        <w:tc>
          <w:tcPr>
            <w:tcW w:w="960" w:type="dxa"/>
            <w:vAlign w:val="center"/>
          </w:tcPr>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Q7.1.3</w:t>
            </w:r>
          </w:p>
          <w:p>
            <w:pPr>
              <w:bidi w:val="0"/>
              <w:rPr>
                <w:rFonts w:hint="eastAsia"/>
                <w:lang w:val="en-US" w:eastAsia="zh-CN"/>
              </w:rPr>
            </w:pPr>
            <w:r>
              <w:rPr>
                <w:rFonts w:hint="eastAsia"/>
                <w:lang w:val="en-US" w:eastAsia="zh-CN"/>
              </w:rPr>
              <w:t>7.1.4</w:t>
            </w:r>
          </w:p>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7.1.5</w:t>
            </w: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Q8.1</w:t>
            </w: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8.5.1</w:t>
            </w:r>
          </w:p>
          <w:p>
            <w:pPr>
              <w:pStyle w:val="10"/>
              <w:spacing w:line="240" w:lineRule="auto"/>
              <w:rPr>
                <w:rFonts w:hint="default" w:asciiTheme="minorEastAsia" w:hAnsiTheme="minorEastAsia" w:eastAsiaTheme="minorEastAsia" w:cstheme="minorEastAsia"/>
                <w:sz w:val="21"/>
                <w:szCs w:val="21"/>
                <w:lang w:val="en-US" w:eastAsia="zh-CN"/>
              </w:rPr>
            </w:pPr>
          </w:p>
        </w:tc>
        <w:tc>
          <w:tcPr>
            <w:tcW w:w="10004" w:type="dxa"/>
            <w:vAlign w:val="center"/>
          </w:tcPr>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办公设备/设施包括笔记本电脑、电话，办公桌及椅子，档案柜、空调等，查见“设备台帐”企业有按规定对设施进行编号，并由使用人员对办公设施进行维护，确保性能良好。综合部负责办公设施归口管理，观察办公设施配备充分，运行情况良好,企业特种设备：无</w:t>
            </w: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办公场所办公现场环境干净、清洁，办公桌椅摆放整齐，工作状态和工作氛围良好，办公工作环境满足要求。</w:t>
            </w: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产品销售过程属服务性质，供方发货到企业，产品均有纸箱/木箱包装物，检验时检验数量、规格、合格证、检验报告等即可，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有依据产品实现过程的特点，有对产品销售和服务提供过程进行了策划，体系建立、实施之前，有配备相应的资源，并规定了运行的控制准则，并按控制准则的要求实施控制，体系建立后有对资源和流程进行优化，以满足体系运行的需要，产品实现策划的输出如下：</w:t>
            </w:r>
          </w:p>
          <w:p>
            <w:pPr>
              <w:pStyle w:val="10"/>
              <w:spacing w:line="24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质量目标及要求：可量化，可测量</w:t>
            </w: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2、产品销售和服务流程：客户接触----合同评审----签订合同-----客户付款------入帐------采购-----客户提货-----验收</w:t>
            </w: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3、配备资源:包括人员、基础设施、资金、技术和信息等资源</w:t>
            </w: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4、策划了相应的体系文件；包括管理手册、程序文件等，识别并收集了与经营范围内产品相关的法律法规，如合同法、产品质量法、消费者权益保障法、</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"https://www.so.com/link?m=aAvS68QQYXRQEnPVkbOU6ry2zthHGjVQvucgzcO6Yy8gmEXB8Ck6mgbH/ZLp/4bFnKIPvTACEuDIb4DVPm1i1AeRhiyJcs8cMNjx8y3uCZXADBfv2GsK8WP9w997HBZ2uU+Xb/jehmP5xXcFQa4NO927pCx8MNXz3L4mlNf/u3CoLQLER" \t "https://www.so.com/_blank"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t>GB-T 2930.4-2001 牧草种子检验规程发芽试验</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"https://www.so.com/link?m=ac/6i+TeweiXo8NGD6XRpdzUk0x19HPRIEct9EGZZudMmmq8Ge3ZvHW/aFQmP2Bnid1ATanikg44Kk2M11+k6SABcqMBmTUaRIcEwCK/MFhRhtS4f145dHpcCG+10ejIHPuTCXnwhGWY=" \t "https://www.so.com/_blank"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t>NY 886-2010 农林保水剂</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DB11/T213-2003城市园林绿化养护管理标准、DB11/T212-2003城市园林绿化工程施工及验收规范等。</w:t>
            </w: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5、规定了销售和服务活动运行准则，如岗位职责、销售和服务流程、销售服务检查规范、员工行为规范</w:t>
            </w: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6、相关的记录等</w:t>
            </w: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产品实现策划的输出基本充分。</w:t>
            </w: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1、项目部获取销售信息，与客户洽谈，在签订合同前对客户要求进行评审，确认可以满足行业有关法律、法规要求和公司规定及客户要求时，签订合同，根据销售合同为客户提供服务。</w:t>
            </w: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确定了销售服务为需确认过程</w:t>
            </w:r>
          </w:p>
          <w:p>
            <w:pPr>
              <w:pStyle w:val="10"/>
              <w:spacing w:line="240" w:lineRule="auto"/>
              <w:rPr>
                <w:rFonts w:hint="eastAsia" w:asciiTheme="minorEastAsia" w:hAnsiTheme="minorEastAsia" w:eastAsiaTheme="minorEastAsia" w:cstheme="minorEastAsia"/>
                <w:sz w:val="21"/>
                <w:szCs w:val="21"/>
                <w:lang w:val="en-US" w:eastAsia="zh-CN"/>
              </w:rPr>
            </w:pP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2、监视测量资源：公司针对产品和服务的特点编制有岗位职责、绩效考核管理办法、销售和服务流程、销售服务检查规范、员工行为规范等作业规范。</w:t>
            </w: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抽销售管理制度,符合要求。</w:t>
            </w: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3、接收准则：识别了规范和接收和放行准则：产品销售过程符合《合同法》DB11/T213-2003城市园林绿化养护管理标准、DB11/T212-2003城市园林绿化工程施工及验收规范等国家法律法规要求及合同要求等接收准则。</w:t>
            </w: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审核获悉，项目部主要依据招标文件和销售合同要求，在合格供方采购客户所需的产品转卖给顾客，相关责任人员负责与供方单位和顾客联络，与供方协调产品采购和客户协调产品的交货事宜。</w:t>
            </w: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销售人员与客户间建立微信沟通群，有问题再微信中说明/解决。</w:t>
            </w:r>
          </w:p>
          <w:p>
            <w:pPr>
              <w:pStyle w:val="1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抽采购检验记录（到货验收），符合要求。</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4、现场查看产品销售情况：现场清洁卫生，配备有消防设施</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现场有日常办公设备，设备运行良好。现场有工作人员正利用电话、网络与客户交流，服务规范。</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5、销售人员均为培训合格并有多年工作经验的人员，符合要求。</w:t>
            </w:r>
          </w:p>
          <w:p>
            <w:pPr>
              <w:pStyle w:val="10"/>
              <w:spacing w:line="24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szCs w:val="21"/>
              </w:rPr>
              <w:t>6、识别了需要确认的过程为销售服务，提供《过程能力评价表》</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符合要求。</w:t>
            </w:r>
          </w:p>
          <w:p>
            <w:pPr>
              <w:rPr>
                <w:szCs w:val="21"/>
              </w:rPr>
            </w:pPr>
            <w:r>
              <w:rPr>
                <w:rFonts w:hint="eastAsia"/>
                <w:szCs w:val="21"/>
              </w:rPr>
              <w:t>7、产品需经检验合格后方可交付给客户，产品交付后，严格遵守销售合同中的各项承诺，尽量避免客户的抱怨和投诉。</w:t>
            </w:r>
          </w:p>
          <w:p>
            <w:pPr>
              <w:rPr>
                <w:szCs w:val="21"/>
              </w:rPr>
            </w:pPr>
            <w:r>
              <w:rPr>
                <w:rFonts w:hint="eastAsia"/>
                <w:szCs w:val="21"/>
              </w:rPr>
              <w:t>8、视频现场观察到办公场所环境良好，文件资料及时进行整理，并存放指定地点，工作人员具有工作状态良好，销售人员和客户沟通用语规范，工作氛围总体良好。</w:t>
            </w:r>
          </w:p>
          <w:p>
            <w:pPr>
              <w:rPr>
                <w:szCs w:val="21"/>
              </w:rPr>
            </w:pPr>
            <w:r>
              <w:rPr>
                <w:rFonts w:hint="eastAsia"/>
                <w:szCs w:val="21"/>
              </w:rPr>
              <w:t>9、自体系建立以来无合同更改情况</w:t>
            </w:r>
          </w:p>
          <w:p>
            <w:pPr>
              <w:rPr>
                <w:rFonts w:hint="eastAsia"/>
              </w:rPr>
            </w:pPr>
            <w:r>
              <w:rPr>
                <w:rFonts w:hint="eastAsia"/>
                <w:szCs w:val="21"/>
              </w:rPr>
              <w:t>销售人员称每次发货前要同客户说明发货产品，发货数量、到货日期，防止货物发送错误。</w:t>
            </w:r>
          </w:p>
          <w:p>
            <w:pPr>
              <w:bidi w:val="0"/>
              <w:rPr>
                <w:rFonts w:hint="eastAsia"/>
                <w:lang w:val="en-US" w:eastAsia="zh-CN"/>
              </w:rPr>
            </w:pPr>
            <w:r>
              <w:rPr>
                <w:rFonts w:hint="eastAsia"/>
                <w:lang w:val="en-US" w:eastAsia="zh-CN"/>
              </w:rPr>
              <w:t>企业无库房，</w:t>
            </w:r>
          </w:p>
          <w:p>
            <w:pPr>
              <w:pStyle w:val="10"/>
              <w:spacing w:line="24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szCs w:val="21"/>
              </w:rPr>
              <w:t>销售过程控制符合策划要求</w:t>
            </w:r>
          </w:p>
        </w:tc>
        <w:tc>
          <w:tcPr>
            <w:tcW w:w="1585" w:type="dxa"/>
          </w:tcPr>
          <w:p>
            <w:pPr>
              <w:rPr>
                <w:rFonts w:hint="eastAsia"/>
                <w:lang w:val="en-US" w:eastAsia="zh-CN"/>
              </w:rPr>
            </w:pPr>
            <w:r>
              <w:rPr>
                <w:rFonts w:hint="eastAsia"/>
                <w:lang w:val="en-US" w:eastAsia="zh-CN"/>
              </w:rPr>
              <w:t>Y</w:t>
            </w: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r>
              <w:rPr>
                <w:rFonts w:hint="eastAsia"/>
                <w:lang w:val="en-US" w:eastAsia="zh-CN"/>
              </w:rPr>
              <w:t>Y</w:t>
            </w: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p>
        </w:tc>
      </w:tr>
    </w:tbl>
    <w:p>
      <w:pPr>
        <w:pStyle w:val="10"/>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项目部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审核员：朱晓丽    审核时间：2020年</w:t>
            </w:r>
            <w:r>
              <w:rPr>
                <w:rFonts w:hint="eastAsia"/>
                <w:sz w:val="24"/>
                <w:szCs w:val="24"/>
                <w:lang w:val="en-US" w:eastAsia="zh-CN"/>
              </w:rPr>
              <w:t>6</w:t>
            </w:r>
            <w:r>
              <w:rPr>
                <w:rFonts w:hint="eastAsia"/>
                <w:sz w:val="24"/>
                <w:szCs w:val="24"/>
              </w:rPr>
              <w:t>月</w:t>
            </w:r>
            <w:r>
              <w:rPr>
                <w:rFonts w:hint="eastAsia"/>
                <w:sz w:val="24"/>
                <w:szCs w:val="24"/>
                <w:lang w:val="en-US" w:eastAsia="zh-CN"/>
              </w:rPr>
              <w:t>21</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60" w:lineRule="auto"/>
              <w:rPr>
                <w:rFonts w:hint="eastAsia" w:eastAsia="宋体"/>
                <w:sz w:val="24"/>
                <w:szCs w:val="24"/>
                <w:lang w:val="en-US" w:eastAsia="zh-CN"/>
              </w:rPr>
            </w:pPr>
            <w:r>
              <w:rPr>
                <w:rFonts w:hint="eastAsia"/>
                <w:sz w:val="24"/>
                <w:szCs w:val="24"/>
              </w:rPr>
              <w:t>审核条款：Q</w:t>
            </w:r>
            <w:r>
              <w:rPr>
                <w:rFonts w:hint="eastAsia"/>
                <w:sz w:val="24"/>
                <w:szCs w:val="24"/>
                <w:lang w:val="en-US" w:eastAsia="zh-CN"/>
              </w:rPr>
              <w:t>:</w:t>
            </w:r>
            <w:r>
              <w:rPr>
                <w:rFonts w:hint="eastAsia"/>
                <w:sz w:val="24"/>
                <w:szCs w:val="24"/>
              </w:rPr>
              <w:t>8.2/8.4</w:t>
            </w:r>
            <w:r>
              <w:rPr>
                <w:rFonts w:hint="eastAsia"/>
                <w:sz w:val="24"/>
                <w:szCs w:val="24"/>
                <w:lang w:val="en-US" w:eastAsia="zh-CN"/>
              </w:rPr>
              <w:t>/9.1.2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2160" w:type="dxa"/>
            <w:vAlign w:val="center"/>
          </w:tcPr>
          <w:p>
            <w:pPr>
              <w:spacing w:line="276" w:lineRule="auto"/>
              <w:ind w:right="-164" w:rightChars="-78"/>
              <w:jc w:val="left"/>
            </w:pPr>
            <w:r>
              <w:rPr>
                <w:rFonts w:hint="eastAsia"/>
              </w:rPr>
              <w:t>产品和服务要求的确定/评审</w:t>
            </w:r>
          </w:p>
          <w:p>
            <w:pPr>
              <w:rPr>
                <w:rFonts w:hint="eastAsia"/>
                <w:lang w:val="en-US" w:eastAsia="zh-CN"/>
              </w:rPr>
            </w:pPr>
            <w:r>
              <w:rPr>
                <w:rFonts w:hint="eastAsia"/>
              </w:rPr>
              <w:t>顾客沟通</w:t>
            </w:r>
            <w:r>
              <w:rPr>
                <w:rFonts w:hint="eastAsia"/>
                <w:lang w:val="en-US" w:eastAsia="zh-CN"/>
              </w:rPr>
              <w:t>/更改</w:t>
            </w:r>
          </w:p>
          <w:p>
            <w:pPr>
              <w:pStyle w:val="10"/>
              <w:rPr>
                <w:rFonts w:hint="eastAsia" w:asciiTheme="minorEastAsia" w:hAnsiTheme="minorEastAsia" w:eastAsiaTheme="minorEastAsia"/>
                <w:szCs w:val="21"/>
                <w:lang w:val="en-US" w:eastAsia="zh-CN"/>
              </w:rPr>
            </w:pPr>
          </w:p>
          <w:p>
            <w:pPr>
              <w:pStyle w:val="10"/>
              <w:rPr>
                <w:rFonts w:hint="eastAsia" w:asciiTheme="minorEastAsia" w:hAnsiTheme="minorEastAsia" w:eastAsiaTheme="minorEastAsia"/>
                <w:szCs w:val="21"/>
                <w:lang w:val="en-US" w:eastAsia="zh-CN"/>
              </w:rPr>
            </w:pPr>
          </w:p>
          <w:p>
            <w:pPr>
              <w:pStyle w:val="10"/>
              <w:rPr>
                <w:rFonts w:hint="eastAsia" w:asciiTheme="minorEastAsia" w:hAnsiTheme="minorEastAsia" w:eastAsiaTheme="minorEastAsia"/>
                <w:szCs w:val="21"/>
                <w:lang w:val="en-US" w:eastAsia="zh-CN"/>
              </w:rPr>
            </w:pPr>
          </w:p>
          <w:p>
            <w:pPr>
              <w:pStyle w:val="10"/>
              <w:rPr>
                <w:rFonts w:hint="eastAsia" w:asciiTheme="minorEastAsia" w:hAnsiTheme="minorEastAsia" w:eastAsiaTheme="minorEastAsia"/>
                <w:szCs w:val="21"/>
                <w:lang w:val="en-US" w:eastAsia="zh-CN"/>
              </w:rPr>
            </w:pPr>
          </w:p>
          <w:p>
            <w:pPr>
              <w:pStyle w:val="10"/>
              <w:rPr>
                <w:rFonts w:hint="eastAsia"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r>
              <w:rPr>
                <w:rFonts w:hint="eastAsia"/>
                <w:szCs w:val="21"/>
              </w:rPr>
              <w:t>外部提供过程、产品和服务过程管理</w:t>
            </w: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p>
          <w:p>
            <w:pPr>
              <w:pStyle w:val="1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顾客满意度调查</w:t>
            </w:r>
          </w:p>
          <w:p>
            <w:pPr>
              <w:pStyle w:val="10"/>
              <w:rPr>
                <w:rFonts w:hint="default" w:asciiTheme="minorEastAsia" w:hAnsiTheme="minorEastAsia" w:eastAsiaTheme="minorEastAsia"/>
                <w:szCs w:val="21"/>
                <w:lang w:val="en-US" w:eastAsia="zh-CN"/>
              </w:rPr>
            </w:pPr>
          </w:p>
        </w:tc>
        <w:tc>
          <w:tcPr>
            <w:tcW w:w="960" w:type="dxa"/>
            <w:vAlign w:val="center"/>
          </w:tcPr>
          <w:p>
            <w:pPr>
              <w:rPr>
                <w:rFonts w:hint="eastAsia"/>
                <w:lang w:val="en-US" w:eastAsia="zh-CN"/>
              </w:rPr>
            </w:pPr>
            <w:r>
              <w:rPr>
                <w:rFonts w:hint="eastAsia"/>
                <w:lang w:val="en-US" w:eastAsia="zh-CN"/>
              </w:rPr>
              <w:t>Q8.2</w:t>
            </w: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eastAsia"/>
                <w:lang w:val="en-US" w:eastAsia="zh-CN"/>
              </w:rPr>
            </w:pPr>
            <w:r>
              <w:rPr>
                <w:rFonts w:hint="eastAsia"/>
                <w:lang w:val="en-US" w:eastAsia="zh-CN"/>
              </w:rPr>
              <w:t>Q8.4</w:t>
            </w: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r>
              <w:rPr>
                <w:rFonts w:hint="eastAsia"/>
                <w:lang w:val="en-US" w:eastAsia="zh-CN"/>
              </w:rPr>
              <w:t>9.1.2</w:t>
            </w:r>
          </w:p>
          <w:p>
            <w:pPr>
              <w:pStyle w:val="10"/>
              <w:rPr>
                <w:rFonts w:hint="default"/>
                <w:lang w:val="en-US" w:eastAsia="zh-CN"/>
              </w:rPr>
            </w:pPr>
          </w:p>
        </w:tc>
        <w:tc>
          <w:tcPr>
            <w:tcW w:w="10004" w:type="dxa"/>
            <w:vAlign w:val="center"/>
          </w:tcPr>
          <w:p>
            <w:pPr>
              <w:autoSpaceDE w:val="0"/>
              <w:spacing w:line="276" w:lineRule="auto"/>
              <w:ind w:right="-105" w:rightChars="-50"/>
            </w:pPr>
            <w:r>
              <w:rPr>
                <w:rFonts w:hint="eastAsia"/>
              </w:rPr>
              <w:t>与产品有关要求的确认内容主要包括明确的要求，如产品名称、产品规格、交货期、价格、结算方式等；顾客隐含的要求，顾客虽没有明示，但规定用途或已知预期用途所必须的要求；相关的法律法规要求,如产品质量法、招投标法等；企业规定的附加要求，如价格及付款方式、交付时间和让步承诺等,顾客要求主要通过销售合同的形式体现。</w:t>
            </w:r>
          </w:p>
          <w:p>
            <w:pPr>
              <w:autoSpaceDE w:val="0"/>
              <w:spacing w:line="276" w:lineRule="auto"/>
              <w:ind w:right="-105" w:rightChars="-50"/>
            </w:pPr>
          </w:p>
          <w:p>
            <w:pPr>
              <w:spacing w:line="276" w:lineRule="auto"/>
              <w:ind w:right="-107" w:rightChars="-51" w:firstLine="210" w:firstLineChars="100"/>
              <w:jc w:val="left"/>
            </w:pPr>
            <w:r>
              <w:rPr>
                <w:rFonts w:hint="eastAsia"/>
                <w:lang w:eastAsia="zh-CN"/>
              </w:rPr>
              <w:t>项目部</w:t>
            </w:r>
            <w:r>
              <w:rPr>
                <w:rFonts w:hint="eastAsia"/>
              </w:rPr>
              <w:t>有建立售前、售中、售后过程顾客的沟通和联络渠道，及时了解了解相关信息，合同签订前充分了解顾客的需求；合同实施过程中沟通和反馈产品质量、产品交付、运输等问题，与客户保持密切沟通，听取客户反馈的意见和信息，并对顾客反馈问题做出回复和处理，合同完成后，严格履行合同各项售后服务要求。顾客反馈的一般性问题，由销售人员负责解决，不能解决的重大问题，要求</w:t>
            </w:r>
            <w:r>
              <w:rPr>
                <w:rFonts w:hint="eastAsia"/>
                <w:lang w:eastAsia="zh-CN"/>
              </w:rPr>
              <w:t>项目部</w:t>
            </w:r>
            <w:r>
              <w:rPr>
                <w:rFonts w:hint="eastAsia"/>
              </w:rPr>
              <w:t>及时采取相应的应对措施，并及时报领导进行处理。体系建立实施后，尚未发生严重顾客投诉。</w:t>
            </w:r>
          </w:p>
          <w:p>
            <w:pPr>
              <w:autoSpaceDE w:val="0"/>
              <w:spacing w:line="276" w:lineRule="auto"/>
              <w:ind w:right="-105" w:rightChars="-50" w:firstLine="315" w:firstLineChars="150"/>
            </w:pPr>
          </w:p>
          <w:p>
            <w:pPr>
              <w:spacing w:line="276" w:lineRule="auto"/>
              <w:ind w:right="-21" w:rightChars="-10" w:firstLine="315" w:firstLineChars="150"/>
            </w:pPr>
            <w:r>
              <w:rPr>
                <w:rFonts w:hint="eastAsia"/>
              </w:rPr>
              <w:t>企业销售合同主要通过招投标、客户介绍等，查见“合同登记表”。</w:t>
            </w:r>
            <w:r>
              <w:rPr>
                <w:rFonts w:hint="eastAsia"/>
                <w:lang w:eastAsia="zh-CN"/>
              </w:rPr>
              <w:t>项目部</w:t>
            </w:r>
            <w:r>
              <w:rPr>
                <w:rFonts w:hint="eastAsia"/>
              </w:rPr>
              <w:t>负责人介绍，销售合同均为书面的文本形式，一般性的常规合同由</w:t>
            </w:r>
            <w:r>
              <w:rPr>
                <w:rFonts w:hint="eastAsia"/>
                <w:lang w:eastAsia="zh-CN"/>
              </w:rPr>
              <w:t>项目部</w:t>
            </w:r>
            <w:r>
              <w:rPr>
                <w:rFonts w:hint="eastAsia"/>
              </w:rPr>
              <w:t>相应授权人对意向合同通过签字确认的方式即完成合同，价格、账期、售后年限异常时需报经总经理审批外，其他普通合同业务员自行处理。业务员自行确定：备货周期、是否有现货、价格等是否符合公司报价单要求。</w:t>
            </w:r>
          </w:p>
          <w:p>
            <w:pPr>
              <w:spacing w:line="276" w:lineRule="auto"/>
              <w:ind w:right="-21" w:rightChars="-10" w:firstLine="315" w:firstLineChars="150"/>
            </w:pPr>
          </w:p>
          <w:p>
            <w:pPr>
              <w:pStyle w:val="10"/>
              <w:rPr>
                <w:rFonts w:hint="default"/>
                <w:lang w:val="en-US" w:eastAsia="zh-CN"/>
              </w:rPr>
            </w:pPr>
            <w:r>
              <w:rPr>
                <w:rFonts w:hint="eastAsia"/>
                <w:lang w:val="en-US" w:eastAsia="zh-CN"/>
              </w:rPr>
              <w:t>企业负责人介绍说：合同有效期较长，目前仍在执行前期签订合同。2020年合同因疫情原因，暂未签订。</w:t>
            </w:r>
          </w:p>
          <w:p>
            <w:pPr>
              <w:adjustRightInd w:val="0"/>
              <w:snapToGrid w:val="0"/>
              <w:spacing w:line="360" w:lineRule="auto"/>
              <w:rPr>
                <w:rFonts w:hint="eastAsia"/>
              </w:rPr>
            </w:pPr>
          </w:p>
          <w:p>
            <w:pPr>
              <w:pStyle w:val="10"/>
              <w:rPr>
                <w:rFonts w:hint="eastAsia"/>
                <w:sz w:val="24"/>
                <w:szCs w:val="24"/>
                <w:lang w:val="en-US" w:eastAsia="zh-CN"/>
              </w:rPr>
            </w:pPr>
            <w:r>
              <w:rPr>
                <w:rFonts w:hint="eastAsia"/>
                <w:sz w:val="24"/>
                <w:szCs w:val="24"/>
                <w:lang w:val="en-US" w:eastAsia="zh-CN"/>
              </w:rPr>
              <w:t>抽销售合同及合同评审记录，均保存完好，符合要求。</w:t>
            </w:r>
          </w:p>
          <w:p>
            <w:pPr>
              <w:pStyle w:val="10"/>
              <w:rPr>
                <w:rFonts w:hint="eastAsia"/>
                <w:sz w:val="24"/>
                <w:szCs w:val="24"/>
                <w:lang w:val="en-US" w:eastAsia="zh-CN"/>
              </w:rPr>
            </w:pPr>
            <w:r>
              <w:rPr>
                <w:rFonts w:hint="eastAsia"/>
                <w:sz w:val="24"/>
                <w:szCs w:val="24"/>
                <w:lang w:val="en-US" w:eastAsia="zh-CN"/>
              </w:rPr>
              <w:t xml:space="preserve"> </w:t>
            </w:r>
          </w:p>
          <w:p>
            <w:pPr>
              <w:pStyle w:val="10"/>
              <w:rPr>
                <w:rFonts w:hint="eastAsia"/>
                <w:sz w:val="24"/>
                <w:szCs w:val="24"/>
                <w:lang w:val="en-US" w:eastAsia="zh-CN"/>
              </w:rPr>
            </w:pPr>
            <w:r>
              <w:rPr>
                <w:rFonts w:hint="eastAsia"/>
                <w:sz w:val="24"/>
                <w:szCs w:val="24"/>
                <w:lang w:val="en-US" w:eastAsia="zh-CN"/>
              </w:rPr>
              <w:t>目前无合同更改记录</w:t>
            </w:r>
          </w:p>
          <w:p>
            <w:pPr>
              <w:pStyle w:val="10"/>
              <w:rPr>
                <w:rFonts w:hint="eastAsia"/>
                <w:sz w:val="24"/>
                <w:szCs w:val="24"/>
                <w:lang w:val="en-US" w:eastAsia="zh-CN"/>
              </w:rPr>
            </w:pPr>
          </w:p>
          <w:p>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pPr>
              <w:rPr>
                <w:szCs w:val="21"/>
              </w:rPr>
            </w:pPr>
            <w:r>
              <w:rPr>
                <w:rFonts w:hint="eastAsia"/>
                <w:szCs w:val="21"/>
              </w:rPr>
              <w:t>供应商名称                 采购产品</w:t>
            </w:r>
          </w:p>
          <w:p>
            <w:pPr>
              <w:rPr>
                <w:rFonts w:hint="eastAsia"/>
                <w:szCs w:val="21"/>
                <w:lang w:val="en-US" w:eastAsia="zh-CN"/>
              </w:rPr>
            </w:pPr>
            <w:r>
              <w:rPr>
                <w:rFonts w:hint="eastAsia"/>
                <w:szCs w:val="21"/>
              </w:rPr>
              <w:t xml:space="preserve">涿州市绿辰苗圃场      </w:t>
            </w:r>
            <w:r>
              <w:rPr>
                <w:rFonts w:hint="eastAsia"/>
                <w:szCs w:val="21"/>
                <w:lang w:val="en-US" w:eastAsia="zh-CN"/>
              </w:rPr>
              <w:t xml:space="preserve">      </w:t>
            </w:r>
            <w:r>
              <w:rPr>
                <w:rFonts w:hint="eastAsia" w:ascii="Arial" w:hAnsi="Arial" w:cs="Arial"/>
                <w:color w:val="000000"/>
                <w:kern w:val="0"/>
                <w:szCs w:val="21"/>
                <w:lang w:eastAsia="zh-CN"/>
              </w:rPr>
              <w:t>苗木</w:t>
            </w:r>
          </w:p>
          <w:p>
            <w:pPr>
              <w:rPr>
                <w:rFonts w:hint="eastAsia"/>
                <w:szCs w:val="21"/>
                <w:lang w:val="en-US" w:eastAsia="zh-CN"/>
              </w:rPr>
            </w:pPr>
            <w:r>
              <w:rPr>
                <w:rFonts w:hint="eastAsia"/>
                <w:szCs w:val="21"/>
                <w:lang w:val="en-US" w:eastAsia="zh-CN"/>
              </w:rPr>
              <w:t>北京昌晋源装饰有限公司    铁艺栏杆</w:t>
            </w:r>
          </w:p>
          <w:p>
            <w:pPr>
              <w:rPr>
                <w:rFonts w:hint="default"/>
                <w:szCs w:val="21"/>
                <w:lang w:val="en-US" w:eastAsia="zh-CN"/>
              </w:rPr>
            </w:pPr>
            <w:r>
              <w:rPr>
                <w:rFonts w:hint="eastAsia"/>
                <w:szCs w:val="21"/>
                <w:lang w:val="en-US" w:eastAsia="zh-CN"/>
              </w:rPr>
              <w:t xml:space="preserve">北京布莱特草业有限公司    </w:t>
            </w:r>
            <w:r>
              <w:rPr>
                <w:rFonts w:hint="eastAsia"/>
                <w:szCs w:val="21"/>
              </w:rPr>
              <w:t>环保草毯</w:t>
            </w:r>
            <w:r>
              <w:rPr>
                <w:rFonts w:hint="eastAsia"/>
                <w:szCs w:val="21"/>
                <w:lang w:eastAsia="zh-CN"/>
              </w:rPr>
              <w:t>、</w:t>
            </w:r>
            <w:r>
              <w:rPr>
                <w:rFonts w:hint="eastAsia"/>
                <w:szCs w:val="21"/>
                <w:lang w:val="en-US" w:eastAsia="zh-CN"/>
              </w:rPr>
              <w:t>喷播保水剂、花木等</w:t>
            </w:r>
          </w:p>
          <w:p>
            <w:pPr>
              <w:rPr>
                <w:rFonts w:hint="eastAsia"/>
                <w:szCs w:val="21"/>
                <w:lang w:val="en-US" w:eastAsia="zh-CN"/>
              </w:rPr>
            </w:pPr>
            <w:r>
              <w:rPr>
                <w:rFonts w:hint="eastAsia"/>
                <w:szCs w:val="21"/>
                <w:lang w:val="en-US" w:eastAsia="zh-CN"/>
              </w:rPr>
              <w:t>对供方均进行了评价，有记录，符合要求</w:t>
            </w:r>
          </w:p>
          <w:p>
            <w:pPr>
              <w:rPr>
                <w:rFonts w:hint="default"/>
                <w:szCs w:val="21"/>
                <w:lang w:val="en-US" w:eastAsia="zh-CN"/>
              </w:rPr>
            </w:pPr>
            <w:r>
              <w:rPr>
                <w:rFonts w:hint="eastAsia"/>
                <w:szCs w:val="21"/>
                <w:lang w:val="en-US" w:eastAsia="zh-CN"/>
              </w:rPr>
              <w:t>抽采购合</w:t>
            </w:r>
            <w:bookmarkStart w:id="0" w:name="_GoBack"/>
            <w:bookmarkEnd w:id="0"/>
            <w:r>
              <w:rPr>
                <w:rFonts w:hint="eastAsia"/>
                <w:szCs w:val="21"/>
                <w:lang w:val="en-US" w:eastAsia="zh-CN"/>
              </w:rPr>
              <w:t>同及采购检验记录，符合要求。</w:t>
            </w:r>
          </w:p>
          <w:p>
            <w:pPr>
              <w:pStyle w:val="10"/>
              <w:rPr>
                <w:rFonts w:hint="default"/>
                <w:sz w:val="24"/>
                <w:szCs w:val="24"/>
                <w:lang w:val="en-US" w:eastAsia="zh-CN"/>
              </w:rPr>
            </w:pPr>
          </w:p>
          <w:p>
            <w:pPr>
              <w:pStyle w:val="10"/>
              <w:rPr>
                <w:rFonts w:hint="default"/>
                <w:sz w:val="24"/>
                <w:szCs w:val="24"/>
                <w:lang w:val="en-US" w:eastAsia="zh-CN"/>
              </w:rPr>
            </w:pPr>
            <w:r>
              <w:rPr>
                <w:rFonts w:hint="eastAsia" w:cs="宋体" w:asciiTheme="minorEastAsia" w:hAnsiTheme="minorEastAsia" w:eastAsiaTheme="minorEastAsia"/>
                <w:szCs w:val="21"/>
                <w:lang w:eastAsia="zh-CN"/>
              </w:rPr>
              <w:t>项目部</w:t>
            </w:r>
            <w:r>
              <w:rPr>
                <w:rFonts w:hint="eastAsia" w:cs="宋体" w:asciiTheme="minorEastAsia" w:hAnsiTheme="minorEastAsia" w:eastAsiaTheme="minorEastAsia"/>
                <w:szCs w:val="21"/>
              </w:rPr>
              <w:t>主要通过不定期接受顾客信息反馈和定期发放“顾客满意度调查表”等收集顾客满意的相关信息。</w:t>
            </w:r>
            <w:r>
              <w:rPr>
                <w:rFonts w:hint="eastAsia" w:cs="宋体" w:asciiTheme="minorEastAsia" w:hAnsiTheme="minorEastAsia" w:eastAsiaTheme="minorEastAsia"/>
                <w:szCs w:val="21"/>
                <w:lang w:eastAsia="zh-CN"/>
              </w:rPr>
              <w:t>项目部</w:t>
            </w:r>
            <w:r>
              <w:rPr>
                <w:rFonts w:hint="eastAsia" w:cs="宋体" w:asciiTheme="minorEastAsia" w:hAnsiTheme="minorEastAsia" w:eastAsiaTheme="minorEastAsia"/>
                <w:szCs w:val="21"/>
              </w:rPr>
              <w:t>于2019年</w:t>
            </w:r>
            <w:r>
              <w:rPr>
                <w:rFonts w:hint="eastAsia" w:cs="宋体" w:asciiTheme="minorEastAsia" w:hAnsiTheme="minorEastAsia" w:eastAsiaTheme="minorEastAsia"/>
                <w:szCs w:val="21"/>
                <w:lang w:val="en-US" w:eastAsia="zh-CN"/>
              </w:rPr>
              <w:t>12</w:t>
            </w:r>
            <w:r>
              <w:rPr>
                <w:rFonts w:hint="eastAsia" w:cs="宋体" w:asciiTheme="minorEastAsia" w:hAnsiTheme="minorEastAsia" w:eastAsiaTheme="minorEastAsia"/>
                <w:szCs w:val="21"/>
              </w:rPr>
              <w:t>月实施了一次顾客满意度工作，查见“顾客满意度调查表”，调查项目包括：包装质量、</w:t>
            </w:r>
            <w:r>
              <w:rPr>
                <w:rFonts w:hint="eastAsia" w:cs="宋体" w:asciiTheme="minorEastAsia" w:hAnsiTheme="minorEastAsia" w:eastAsiaTheme="minorEastAsia"/>
                <w:szCs w:val="21"/>
                <w:lang w:val="en-US" w:eastAsia="zh-CN"/>
              </w:rPr>
              <w:t>价格、交货期、支付服务、售后服务</w:t>
            </w:r>
            <w:r>
              <w:rPr>
                <w:rFonts w:hint="eastAsia" w:cs="宋体" w:asciiTheme="minorEastAsia" w:hAnsiTheme="minorEastAsia" w:eastAsiaTheme="minorEastAsia"/>
                <w:szCs w:val="21"/>
              </w:rPr>
              <w:t>，报告统计结果综合满意率为</w:t>
            </w:r>
            <w:r>
              <w:rPr>
                <w:rFonts w:hint="eastAsia" w:cs="宋体" w:asciiTheme="minorEastAsia" w:hAnsiTheme="minorEastAsia" w:eastAsiaTheme="minorEastAsia"/>
                <w:szCs w:val="21"/>
                <w:lang w:val="en-US" w:eastAsia="zh-CN"/>
              </w:rPr>
              <w:t>98</w:t>
            </w:r>
            <w:r>
              <w:rPr>
                <w:rFonts w:hint="eastAsia" w:cs="宋体" w:asciiTheme="minorEastAsia" w:hAnsiTheme="minorEastAsia" w:eastAsiaTheme="minorEastAsia"/>
                <w:szCs w:val="21"/>
              </w:rPr>
              <w:t>，达到了质量目标要求。顾客满意度调查结果有提交本年度的管理评审。</w:t>
            </w:r>
          </w:p>
        </w:tc>
        <w:tc>
          <w:tcPr>
            <w:tcW w:w="1585" w:type="dxa"/>
          </w:tcPr>
          <w:p>
            <w:pPr>
              <w:rPr>
                <w:rFonts w:hint="eastAsia"/>
                <w:lang w:val="en-US" w:eastAsia="zh-CN"/>
              </w:rPr>
            </w:pPr>
            <w:r>
              <w:rPr>
                <w:rFonts w:hint="eastAsia"/>
                <w:lang w:val="en-US" w:eastAsia="zh-CN"/>
              </w:rPr>
              <w:t>Y</w:t>
            </w: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r>
              <w:rPr>
                <w:rFonts w:hint="eastAsia"/>
                <w:lang w:val="en-US" w:eastAsia="zh-CN"/>
              </w:rPr>
              <w:t>Y</w:t>
            </w: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default"/>
                <w:lang w:val="en-US" w:eastAsia="zh-CN"/>
              </w:rPr>
            </w:pPr>
          </w:p>
        </w:tc>
      </w:tr>
    </w:tbl>
    <w:p>
      <w:pPr>
        <w:pStyle w:val="10"/>
      </w:pPr>
    </w:p>
    <w:p>
      <w:pPr>
        <w:pStyle w:val="10"/>
      </w:pPr>
    </w:p>
    <w:p>
      <w:pPr>
        <w:pStyle w:val="10"/>
      </w:pPr>
    </w:p>
    <w:p>
      <w:pPr>
        <w:pStyle w:val="10"/>
      </w:pPr>
    </w:p>
    <w:p>
      <w:pPr>
        <w:pStyle w:val="10"/>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2"/>
      <w:pBdr>
        <w:bottom w:val="none" w:color="auto" w:sz="0" w:space="1"/>
      </w:pBdr>
      <w:spacing w:line="320" w:lineRule="exact"/>
      <w:ind w:firstLine="720" w:firstLineChars="400"/>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lvlText w:val="%1）"/>
      <w:lvlJc w:val="left"/>
      <w:pPr>
        <w:tabs>
          <w:tab w:val="left" w:pos="840"/>
        </w:tabs>
        <w:ind w:left="840" w:hanging="420"/>
      </w:pPr>
      <w:rPr>
        <w:rFonts w:ascii="Times New Roman" w:hAnsi="Times New Roman" w:eastAsia="宋体" w:cs="Times New Roman"/>
      </w:rPr>
    </w:lvl>
    <w:lvl w:ilvl="1" w:tentative="0">
      <w:start w:val="1"/>
      <w:numFmt w:val="decimal"/>
      <w:lvlText w:val="%2、"/>
      <w:lvlJc w:val="left"/>
      <w:pPr>
        <w:tabs>
          <w:tab w:val="left" w:pos="1560"/>
        </w:tabs>
        <w:ind w:left="1560" w:hanging="720"/>
      </w:pPr>
      <w:rPr>
        <w:rFonts w:hint="default"/>
      </w:rPr>
    </w:lvl>
    <w:lvl w:ilvl="2" w:tentative="0">
      <w:start w:val="5"/>
      <w:numFmt w:val="japaneseCounting"/>
      <w:lvlText w:val="第%3章"/>
      <w:lvlJc w:val="left"/>
      <w:pPr>
        <w:tabs>
          <w:tab w:val="left" w:pos="2130"/>
        </w:tabs>
        <w:ind w:left="2130" w:hanging="87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3373A"/>
    <w:rsid w:val="00105A91"/>
    <w:rsid w:val="00105DD6"/>
    <w:rsid w:val="001348EB"/>
    <w:rsid w:val="001A2D7F"/>
    <w:rsid w:val="001B2690"/>
    <w:rsid w:val="002320DE"/>
    <w:rsid w:val="00337922"/>
    <w:rsid w:val="00340867"/>
    <w:rsid w:val="00380837"/>
    <w:rsid w:val="00383135"/>
    <w:rsid w:val="0038622C"/>
    <w:rsid w:val="003C5490"/>
    <w:rsid w:val="00410914"/>
    <w:rsid w:val="00464AE0"/>
    <w:rsid w:val="004E2167"/>
    <w:rsid w:val="00536930"/>
    <w:rsid w:val="00564E53"/>
    <w:rsid w:val="00644FE2"/>
    <w:rsid w:val="0067640C"/>
    <w:rsid w:val="006E28A9"/>
    <w:rsid w:val="006E678B"/>
    <w:rsid w:val="00707142"/>
    <w:rsid w:val="007757F3"/>
    <w:rsid w:val="007E6AEB"/>
    <w:rsid w:val="00824194"/>
    <w:rsid w:val="00824234"/>
    <w:rsid w:val="00871C15"/>
    <w:rsid w:val="008973EE"/>
    <w:rsid w:val="008C7D6A"/>
    <w:rsid w:val="009165D4"/>
    <w:rsid w:val="00971600"/>
    <w:rsid w:val="009973B4"/>
    <w:rsid w:val="009C14CD"/>
    <w:rsid w:val="009F7EED"/>
    <w:rsid w:val="00AC6F83"/>
    <w:rsid w:val="00AF0AAB"/>
    <w:rsid w:val="00B258C1"/>
    <w:rsid w:val="00BF597E"/>
    <w:rsid w:val="00C224AB"/>
    <w:rsid w:val="00C51A36"/>
    <w:rsid w:val="00C55228"/>
    <w:rsid w:val="00C56D5E"/>
    <w:rsid w:val="00CE315A"/>
    <w:rsid w:val="00D05E1D"/>
    <w:rsid w:val="00D06F59"/>
    <w:rsid w:val="00D8388C"/>
    <w:rsid w:val="00E422D6"/>
    <w:rsid w:val="00E45053"/>
    <w:rsid w:val="00E87525"/>
    <w:rsid w:val="00EB0164"/>
    <w:rsid w:val="00ED0F62"/>
    <w:rsid w:val="00EE7BAD"/>
    <w:rsid w:val="00F71ED3"/>
    <w:rsid w:val="00FC408C"/>
    <w:rsid w:val="052A58DF"/>
    <w:rsid w:val="05E05213"/>
    <w:rsid w:val="06FD5689"/>
    <w:rsid w:val="08177659"/>
    <w:rsid w:val="08440B10"/>
    <w:rsid w:val="09097459"/>
    <w:rsid w:val="0A374125"/>
    <w:rsid w:val="0A803C45"/>
    <w:rsid w:val="0AC33088"/>
    <w:rsid w:val="0E8275FD"/>
    <w:rsid w:val="0F150599"/>
    <w:rsid w:val="108219C2"/>
    <w:rsid w:val="116A65DE"/>
    <w:rsid w:val="118F1FE2"/>
    <w:rsid w:val="11BB50F3"/>
    <w:rsid w:val="132330EE"/>
    <w:rsid w:val="13E76FEC"/>
    <w:rsid w:val="13EE7160"/>
    <w:rsid w:val="1593211A"/>
    <w:rsid w:val="16CB152A"/>
    <w:rsid w:val="16F44480"/>
    <w:rsid w:val="172800D8"/>
    <w:rsid w:val="18543097"/>
    <w:rsid w:val="1A5C54FB"/>
    <w:rsid w:val="1B070AA2"/>
    <w:rsid w:val="1BD9231E"/>
    <w:rsid w:val="1CEA2A11"/>
    <w:rsid w:val="1DF57DDE"/>
    <w:rsid w:val="1ED87517"/>
    <w:rsid w:val="213C65C1"/>
    <w:rsid w:val="215D5025"/>
    <w:rsid w:val="24827A9C"/>
    <w:rsid w:val="24FC1A61"/>
    <w:rsid w:val="25684C75"/>
    <w:rsid w:val="25C947AF"/>
    <w:rsid w:val="273C3BE6"/>
    <w:rsid w:val="291B76C5"/>
    <w:rsid w:val="2A1F2B7C"/>
    <w:rsid w:val="2B9728CA"/>
    <w:rsid w:val="2C0A1DB5"/>
    <w:rsid w:val="2CB047C5"/>
    <w:rsid w:val="2DFE2315"/>
    <w:rsid w:val="2E112FE0"/>
    <w:rsid w:val="2E992EBB"/>
    <w:rsid w:val="2F6A1FD5"/>
    <w:rsid w:val="2FCE7ED7"/>
    <w:rsid w:val="2FD905D8"/>
    <w:rsid w:val="30287923"/>
    <w:rsid w:val="3324760B"/>
    <w:rsid w:val="33916486"/>
    <w:rsid w:val="34C423F2"/>
    <w:rsid w:val="37BD247B"/>
    <w:rsid w:val="382A6F0A"/>
    <w:rsid w:val="38EA0B77"/>
    <w:rsid w:val="398372EA"/>
    <w:rsid w:val="3C2D1376"/>
    <w:rsid w:val="3ED60D18"/>
    <w:rsid w:val="402E10C3"/>
    <w:rsid w:val="41A23403"/>
    <w:rsid w:val="4484359B"/>
    <w:rsid w:val="45207A69"/>
    <w:rsid w:val="469246D5"/>
    <w:rsid w:val="46977049"/>
    <w:rsid w:val="46F22BB2"/>
    <w:rsid w:val="47766DA1"/>
    <w:rsid w:val="48E06D57"/>
    <w:rsid w:val="4AB50A42"/>
    <w:rsid w:val="4B0068D8"/>
    <w:rsid w:val="4B824F90"/>
    <w:rsid w:val="4DFD5F75"/>
    <w:rsid w:val="4F2A6CB8"/>
    <w:rsid w:val="4FA7328E"/>
    <w:rsid w:val="50045092"/>
    <w:rsid w:val="51AD53DB"/>
    <w:rsid w:val="51F35204"/>
    <w:rsid w:val="528307CF"/>
    <w:rsid w:val="538B4D60"/>
    <w:rsid w:val="53B012B0"/>
    <w:rsid w:val="53CB50A1"/>
    <w:rsid w:val="54404C9E"/>
    <w:rsid w:val="55DA302B"/>
    <w:rsid w:val="55E1221B"/>
    <w:rsid w:val="570F3A83"/>
    <w:rsid w:val="58266F65"/>
    <w:rsid w:val="599E4788"/>
    <w:rsid w:val="5CBD73D0"/>
    <w:rsid w:val="5E135003"/>
    <w:rsid w:val="5E5A62EA"/>
    <w:rsid w:val="5EA12B9A"/>
    <w:rsid w:val="5F587E07"/>
    <w:rsid w:val="60835FF3"/>
    <w:rsid w:val="612C3687"/>
    <w:rsid w:val="64731732"/>
    <w:rsid w:val="64DF1E34"/>
    <w:rsid w:val="664C61E9"/>
    <w:rsid w:val="6AC4739B"/>
    <w:rsid w:val="6C2333CF"/>
    <w:rsid w:val="6D4D2982"/>
    <w:rsid w:val="6ED87EA0"/>
    <w:rsid w:val="6FD92115"/>
    <w:rsid w:val="702509C2"/>
    <w:rsid w:val="70BA739C"/>
    <w:rsid w:val="70FD2291"/>
    <w:rsid w:val="749C4896"/>
    <w:rsid w:val="765036A0"/>
    <w:rsid w:val="76D21906"/>
    <w:rsid w:val="78566C6F"/>
    <w:rsid w:val="78DE6AEC"/>
    <w:rsid w:val="7A3453A2"/>
    <w:rsid w:val="7B772E07"/>
    <w:rsid w:val="7CC359A0"/>
    <w:rsid w:val="7CE81C3E"/>
    <w:rsid w:val="7E3330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Plain Text"/>
    <w:basedOn w:val="1"/>
    <w:qFormat/>
    <w:uiPriority w:val="99"/>
    <w:rPr>
      <w:rFonts w:ascii="宋体" w:hAnsi="Courier New"/>
      <w:sz w:val="28"/>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character" w:styleId="9">
    <w:name w:val="Strong"/>
    <w:basedOn w:val="8"/>
    <w:qFormat/>
    <w:uiPriority w:val="22"/>
    <w:rPr>
      <w:b/>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8"/>
    <w:link w:val="2"/>
    <w:qFormat/>
    <w:uiPriority w:val="99"/>
    <w:rPr>
      <w:rFonts w:ascii="Times New Roman" w:hAnsi="Times New Roman" w:eastAsia="宋体" w:cs="Times New Roman"/>
      <w:sz w:val="18"/>
      <w:szCs w:val="18"/>
    </w:rPr>
  </w:style>
  <w:style w:type="character" w:customStyle="1" w:styleId="12">
    <w:name w:val="页脚 Char"/>
    <w:basedOn w:val="8"/>
    <w:link w:val="6"/>
    <w:qFormat/>
    <w:uiPriority w:val="99"/>
    <w:rPr>
      <w:rFonts w:ascii="Times New Roman" w:hAnsi="Times New Roman" w:eastAsia="宋体" w:cs="Times New Roman"/>
      <w:sz w:val="18"/>
      <w:szCs w:val="18"/>
    </w:rPr>
  </w:style>
  <w:style w:type="character" w:customStyle="1" w:styleId="13">
    <w:name w:val="批注框文本 Char"/>
    <w:basedOn w:val="8"/>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6">
    <w:name w:val="List Paragraph"/>
    <w:basedOn w:val="1"/>
    <w:unhideWhenUsed/>
    <w:qFormat/>
    <w:uiPriority w:val="99"/>
    <w:pPr>
      <w:ind w:firstLine="420" w:firstLineChars="200"/>
    </w:pPr>
  </w:style>
  <w:style w:type="paragraph" w:styleId="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710</Words>
  <Characters>4048</Characters>
  <Lines>33</Lines>
  <Paragraphs>9</Paragraphs>
  <TotalTime>3</TotalTime>
  <ScaleCrop>false</ScaleCrop>
  <LinksUpToDate>false</LinksUpToDate>
  <CharactersWithSpaces>4749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2020-06-26T08:35:49Z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