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云南胜爵人防工程设备销售有限公司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0117-2019-Q-2020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2020年06月13日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2020年06月13日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2020年06月13日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2A5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2020-06-12T01:34:38Z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