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新疆浩之帆石油机械有限公司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18.05.02,18.08.00</w:t>
            </w:r>
          </w:p>
          <w:p>
            <w:pPr>
              <w:spacing w:line="240" w:lineRule="exact"/>
              <w:jc w:val="center"/>
              <w:rPr>
                <w:b/>
                <w:color w:val="000000" w:themeColor="text1"/>
                <w:sz w:val="20"/>
                <w:szCs w:val="20"/>
              </w:rPr>
            </w:pPr>
            <w:r>
              <w:rPr>
                <w:b/>
                <w:color w:val="000000" w:themeColor="text1"/>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新疆浩之帆石油机械有限公司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新疆乌鲁木齐市沙依巴克区哈密南路45号众福苑三期4号楼4单元301室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830099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新疆克拉玛依市东岭路12号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834009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孙彪</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18130878787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范鸿驿</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孙彪</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石油专用设备（泥浆净化系统、加工罐）、沙漠野营房的生产，钻机维修及技术服务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18.05.02;18.08.00;34.06.00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见多场所清单。</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经营部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质量部</w:t>
            </w: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11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68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3119"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过程监控管理；服务过程管理；设备设施管理</w:t>
            </w:r>
          </w:p>
        </w:tc>
        <w:tc>
          <w:tcPr>
            <w:tcW w:w="3685" w:type="dxa"/>
          </w:tcPr>
          <w:p>
            <w:pPr>
              <w:jc w:val="center"/>
              <w:rPr>
                <w:rFonts w:ascii="宋体" w:hAnsi="宋体"/>
                <w:b/>
                <w:color w:val="000000" w:themeColor="text1"/>
                <w:spacing w:val="-20"/>
                <w:sz w:val="20"/>
                <w:szCs w:val="20"/>
                <w:u w:val="single"/>
              </w:rPr>
            </w:pPr>
            <w:r>
              <w:rPr>
                <w:rFonts w:hint="eastAsia" w:ascii="宋体" w:hAnsi="宋体" w:cs="Times New Roman"/>
                <w:b/>
                <w:color w:val="000000" w:themeColor="text1"/>
                <w:sz w:val="20"/>
                <w:szCs w:val="20"/>
              </w:rPr>
              <w:t>新疆省昌吉州阜康市准东石油基地38号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119" w:type="dxa"/>
          </w:tcPr>
          <w:p>
            <w:pPr>
              <w:jc w:val="center"/>
              <w:rPr>
                <w:rFonts w:ascii="宋体" w:hAnsi="宋体"/>
                <w:b/>
                <w:color w:val="000000" w:themeColor="text1"/>
                <w:spacing w:val="-20"/>
                <w:sz w:val="20"/>
                <w:szCs w:val="20"/>
                <w:u w:val="single"/>
              </w:rPr>
            </w:pPr>
          </w:p>
        </w:tc>
        <w:tc>
          <w:tcPr>
            <w:tcW w:w="368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119" w:type="dxa"/>
          </w:tcPr>
          <w:p>
            <w:pPr>
              <w:jc w:val="center"/>
              <w:rPr>
                <w:rFonts w:ascii="宋体" w:hAnsi="宋体"/>
                <w:b/>
                <w:color w:val="000000" w:themeColor="text1"/>
                <w:spacing w:val="-20"/>
                <w:sz w:val="20"/>
                <w:szCs w:val="20"/>
                <w:u w:val="single"/>
              </w:rPr>
            </w:pPr>
          </w:p>
        </w:tc>
        <w:tc>
          <w:tcPr>
            <w:tcW w:w="368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石油专用设备（泥浆净化系统、加工罐）、沙漠野营房的生产，钻机维修及技术服务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default" w:eastAsia="宋体"/>
                <w:b/>
                <w:color w:val="000000" w:themeColor="text1"/>
                <w:sz w:val="20"/>
                <w:szCs w:val="20"/>
                <w:lang w:val="en-US" w:eastAsia="zh-CN"/>
              </w:rPr>
            </w:pPr>
            <w:r>
              <w:rPr>
                <w:rFonts w:hint="eastAsia" w:ascii="宋体" w:hAnsi="宋体"/>
                <w:color w:val="000000"/>
                <w:sz w:val="21"/>
                <w:szCs w:val="21"/>
              </w:rPr>
              <w:t>石油天然气工业钻井和修井设备GB/T 17744-2008</w:t>
            </w:r>
            <w:r>
              <w:rPr>
                <w:rFonts w:hint="eastAsia" w:ascii="宋体" w:hAnsi="宋体"/>
                <w:color w:val="000000"/>
                <w:sz w:val="21"/>
                <w:szCs w:val="21"/>
                <w:lang w:eastAsia="zh-CN"/>
              </w:rPr>
              <w:t>、</w:t>
            </w:r>
            <w:r>
              <w:rPr>
                <w:rFonts w:hint="eastAsia" w:ascii="宋体" w:hAnsi="宋体"/>
                <w:color w:val="000000"/>
                <w:sz w:val="21"/>
                <w:szCs w:val="21"/>
              </w:rPr>
              <w:t>石油钻机用电气设备规范SY/T 6725.4-2012</w:t>
            </w:r>
            <w:r>
              <w:rPr>
                <w:rFonts w:hint="eastAsia" w:ascii="宋体" w:hAnsi="宋体"/>
                <w:color w:val="000000"/>
                <w:sz w:val="21"/>
                <w:szCs w:val="21"/>
                <w:lang w:eastAsia="zh-CN"/>
              </w:rPr>
              <w:t>、</w:t>
            </w:r>
            <w:r>
              <w:rPr>
                <w:rFonts w:hint="eastAsia" w:ascii="宋体" w:hAnsi="宋体"/>
                <w:color w:val="000000"/>
                <w:sz w:val="21"/>
                <w:szCs w:val="21"/>
              </w:rPr>
              <w:t>石油设备焊接件通用技术条件SY/T 5307</w:t>
            </w:r>
            <w:r>
              <w:rPr>
                <w:rFonts w:hint="eastAsia" w:ascii="宋体" w:hAnsi="宋体"/>
                <w:color w:val="000000"/>
                <w:sz w:val="21"/>
                <w:szCs w:val="21"/>
                <w:lang w:eastAsia="zh-CN"/>
              </w:rPr>
              <w:t>、</w:t>
            </w:r>
            <w:r>
              <w:rPr>
                <w:rFonts w:hint="eastAsia" w:ascii="宋体" w:hAnsi="宋体"/>
                <w:color w:val="000000"/>
                <w:sz w:val="21"/>
                <w:szCs w:val="21"/>
              </w:rPr>
              <w:t>设备的检修、维护、修理和修复程序</w:t>
            </w:r>
            <w:r>
              <w:rPr>
                <w:rFonts w:hint="eastAsia" w:ascii="宋体" w:hAnsi="宋体" w:cs="宋体"/>
                <w:sz w:val="21"/>
                <w:szCs w:val="21"/>
              </w:rPr>
              <w:t>SY/T 6367-2009</w:t>
            </w:r>
            <w:r>
              <w:rPr>
                <w:rFonts w:hint="eastAsia" w:ascii="宋体" w:hAnsi="宋体" w:cs="宋体"/>
                <w:sz w:val="21"/>
                <w:szCs w:val="21"/>
                <w:lang w:eastAsia="zh-CN"/>
              </w:rPr>
              <w:t>、</w:t>
            </w:r>
            <w:r>
              <w:rPr>
                <w:rFonts w:hint="eastAsia" w:ascii="宋体" w:hAnsi="宋体"/>
                <w:color w:val="000000"/>
                <w:sz w:val="21"/>
                <w:szCs w:val="21"/>
                <w:lang w:val="en-US" w:eastAsia="zh-CN"/>
              </w:rPr>
              <w:t>施工作业用野营房Q/SY 1098等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2020年01月10日至2020年06月11日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b/>
                <w:bCs/>
                <w:sz w:val="21"/>
                <w:szCs w:val="2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kern w:val="2"/>
                <w:sz w:val="21"/>
                <w:szCs w:val="24"/>
                <w:lang w:val="en-US" w:eastAsia="zh-CN" w:bidi="ar-SA"/>
              </w:rPr>
              <w:t>质量为本，信誉第一，服务至上，持续改进</w:t>
            </w:r>
            <w:r>
              <w:rPr>
                <w:rFonts w:hint="eastAsia" w:ascii="宋体" w:hAnsi="宋体"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 xml:space="preserve">  </w:t>
            </w:r>
            <w:r>
              <w:rPr>
                <w:rFonts w:hint="eastAsia" w:ascii="宋体" w:hAnsi="宋体"/>
                <w:szCs w:val="21"/>
              </w:rPr>
              <w:t xml:space="preserve">石油专用设备（泥浆净化系统、加工罐）、沙漠野营房的生产，钻机维修及技术服务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总装及试车过程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r>
              <w:rPr>
                <w:rFonts w:hint="eastAsia" w:ascii="宋体" w:hAnsi="宋体"/>
                <w:b/>
                <w:color w:val="000000" w:themeColor="text1"/>
                <w:sz w:val="20"/>
                <w:szCs w:val="20"/>
                <w:lang w:val="en-US" w:eastAsia="zh-CN"/>
              </w:rPr>
              <w:t>过程、服务过程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s="Times New Roman"/>
                <w:szCs w:val="21"/>
              </w:rPr>
              <w:t>公司</w:t>
            </w:r>
            <w:r>
              <w:rPr>
                <w:rFonts w:hint="eastAsia" w:ascii="宋体" w:hAnsi="宋体" w:cs="Times New Roman"/>
                <w:szCs w:val="21"/>
                <w:lang w:val="en-US" w:eastAsia="zh-CN"/>
              </w:rPr>
              <w:t>石油专用设备制造、维修及技术服务</w:t>
            </w:r>
            <w:r>
              <w:rPr>
                <w:rFonts w:hint="eastAsia" w:ascii="宋体" w:hAnsi="宋体" w:cs="Times New Roman"/>
                <w:szCs w:val="21"/>
              </w:rPr>
              <w:t>,</w:t>
            </w:r>
            <w:r>
              <w:rPr>
                <w:rFonts w:hint="eastAsia" w:ascii="宋体" w:hAnsi="宋体" w:cs="Times New Roman"/>
                <w:szCs w:val="21"/>
                <w:lang w:val="en-US" w:eastAsia="zh-CN"/>
              </w:rPr>
              <w:t>严格按照甲方图纸及要求生产，不需要进一步细化要求</w:t>
            </w:r>
            <w:r>
              <w:rPr>
                <w:rFonts w:hint="eastAsia" w:ascii="宋体" w:hAnsi="宋体" w:cs="Times New Roman"/>
                <w:szCs w:val="21"/>
              </w:rPr>
              <w:t xml:space="preserve">,因此标准8.3条款“产品和服务的设计和开发”要求不适用。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bookmarkStart w:id="21" w:name="_GoBack"/>
            <w:bookmarkEnd w:id="21"/>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ascii="宋体" w:hAnsi="宋体"/>
                <w:bCs/>
                <w:iCs/>
                <w:szCs w:val="22"/>
                <w:lang w:val="en-US" w:eastAsia="zh-CN"/>
              </w:rPr>
              <w:t>克拉玛依分工分公司位于克拉玛依白碱滩区东岭路 12 号 场地面积 21000 平方米 厂房面积 2000 平方米；准东分公司位于准东石油基地内。场地面积 12000 平方米厂房面积 2400平方米。</w:t>
            </w:r>
            <w:r>
              <w:rPr>
                <w:rFonts w:hint="eastAsia" w:ascii="宋体" w:hAnsi="宋体"/>
                <w:bCs/>
                <w:iCs/>
                <w:szCs w:val="22"/>
              </w:rPr>
              <w:t>库房</w:t>
            </w:r>
            <w:r>
              <w:rPr>
                <w:rFonts w:hint="eastAsia" w:ascii="宋体" w:hAnsi="宋体"/>
                <w:bCs/>
                <w:iCs/>
                <w:szCs w:val="22"/>
                <w:lang w:eastAsia="zh-CN"/>
              </w:rPr>
              <w:t>与生产场所分区。</w:t>
            </w:r>
            <w:r>
              <w:rPr>
                <w:rFonts w:hint="eastAsia" w:ascii="宋体" w:hAnsi="宋体"/>
                <w:bCs/>
                <w:iCs/>
                <w:szCs w:val="22"/>
              </w:rPr>
              <w:t>主要生产设备包括</w:t>
            </w:r>
            <w:r>
              <w:rPr>
                <w:rFonts w:hint="eastAsia" w:ascii="宋体" w:hAnsi="宋体"/>
                <w:bCs/>
                <w:iCs/>
                <w:szCs w:val="22"/>
                <w:lang w:eastAsia="zh-CN"/>
              </w:rPr>
              <w:t>：</w:t>
            </w:r>
            <w:r>
              <w:rPr>
                <w:rFonts w:hint="eastAsia" w:ascii="宋体" w:hAnsi="宋体"/>
                <w:bCs/>
                <w:iCs/>
                <w:szCs w:val="22"/>
                <w:lang w:val="en-US" w:eastAsia="zh-CN"/>
              </w:rPr>
              <w:t>高速型材切割机、台式钻床、气动攻丝机、离心风机剪板机、折弯机、电焊机、气体保护焊机等52台套</w:t>
            </w:r>
            <w:r>
              <w:rPr>
                <w:rFonts w:hint="eastAsia" w:ascii="宋体" w:hAnsi="宋体"/>
                <w:bCs/>
                <w:iCs/>
                <w:szCs w:val="22"/>
              </w:rPr>
              <w:t>等</w:t>
            </w:r>
            <w:r>
              <w:rPr>
                <w:rFonts w:hint="eastAsia" w:ascii="宋体" w:hAnsi="宋体"/>
                <w:bCs/>
                <w:iCs/>
                <w:szCs w:val="22"/>
                <w:lang w:eastAsia="zh-CN"/>
              </w:rPr>
              <w:t>，可以</w:t>
            </w:r>
            <w:r>
              <w:rPr>
                <w:rFonts w:hint="eastAsia" w:ascii="宋体" w:hAnsi="宋体"/>
                <w:bCs/>
                <w:iCs/>
                <w:szCs w:val="22"/>
              </w:rPr>
              <w:t>满足生产需要。对设备按月方式进行点检维护保养，并实施。特种设备：</w:t>
            </w:r>
            <w:r>
              <w:rPr>
                <w:rFonts w:hint="eastAsia" w:ascii="宋体" w:hAnsi="宋体"/>
                <w:bCs/>
                <w:iCs/>
                <w:szCs w:val="22"/>
                <w:lang w:val="en-US" w:eastAsia="zh-CN"/>
              </w:rPr>
              <w:t>行车，</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w:t>
            </w:r>
            <w:r>
              <w:rPr>
                <w:rFonts w:hint="eastAsia" w:ascii="宋体" w:hAnsi="宋体" w:cs="宋体"/>
                <w:color w:val="000000"/>
                <w:szCs w:val="21"/>
                <w:highlight w:val="none"/>
                <w:lang w:val="en-US" w:eastAsia="zh-CN"/>
              </w:rPr>
              <w:t>不</w:t>
            </w:r>
            <w:r>
              <w:rPr>
                <w:rFonts w:hint="eastAsia" w:ascii="宋体" w:hAnsi="宋体" w:cs="宋体"/>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涉及经营部不符合标准8.2.3条款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4</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10</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石油专用设备（泥浆净化系统、加工罐）、沙漠野营房的生产，钻机维修及技术服务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tabs>
          <w:tab w:val="left" w:pos="645"/>
        </w:tabs>
        <w:spacing w:line="360" w:lineRule="auto"/>
        <w:ind w:left="-850" w:leftChars="-405"/>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 xml:space="preserve">十一、审核基于对可获得信息的抽样过程的免责声明；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72576" behindDoc="0" locked="0" layoutInCell="1" allowOverlap="1">
            <wp:simplePos x="0" y="0"/>
            <wp:positionH relativeFrom="column">
              <wp:posOffset>1843405</wp:posOffset>
            </wp:positionH>
            <wp:positionV relativeFrom="paragraph">
              <wp:posOffset>334010</wp:posOffset>
            </wp:positionV>
            <wp:extent cx="577215" cy="408305"/>
            <wp:effectExtent l="0" t="0" r="13335" b="1143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577215" cy="40830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186" w:firstLineChars="24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2020年11月11日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211" w:firstLineChars="100"/>
        <w:jc w:val="center"/>
        <w:rPr>
          <w:b/>
          <w:color w:val="000000" w:themeColor="text1"/>
          <w:szCs w:val="21"/>
        </w:rPr>
      </w:pPr>
      <w:r>
        <w:rPr>
          <w:rFonts w:hint="eastAsia"/>
          <w:b/>
          <w:color w:val="000000" w:themeColor="text1"/>
          <w:szCs w:val="21"/>
        </w:rPr>
        <w:t xml:space="preserve">组长签字: </w:t>
      </w:r>
      <w:r>
        <w:rPr>
          <w:rFonts w:hint="eastAsia" w:eastAsia="宋体"/>
          <w:b/>
          <w:color w:val="000000" w:themeColor="text1"/>
          <w:sz w:val="26"/>
          <w:szCs w:val="26"/>
          <w:lang w:eastAsia="zh-CN"/>
        </w:rPr>
        <w:drawing>
          <wp:anchor distT="0" distB="0" distL="114300" distR="114300" simplePos="0" relativeHeight="251703296" behindDoc="0" locked="0" layoutInCell="1" allowOverlap="1">
            <wp:simplePos x="0" y="0"/>
            <wp:positionH relativeFrom="column">
              <wp:posOffset>1298575</wp:posOffset>
            </wp:positionH>
            <wp:positionV relativeFrom="paragraph">
              <wp:posOffset>73660</wp:posOffset>
            </wp:positionV>
            <wp:extent cx="490855" cy="347345"/>
            <wp:effectExtent l="0" t="0" r="4445" b="15240"/>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490855" cy="347345"/>
                    </a:xfrm>
                    <a:prstGeom prst="rect">
                      <a:avLst/>
                    </a:prstGeom>
                  </pic:spPr>
                </pic:pic>
              </a:graphicData>
            </a:graphic>
          </wp:anchor>
        </w:drawing>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F60602"/>
    <w:rsid w:val="05945EE1"/>
    <w:rsid w:val="08041264"/>
    <w:rsid w:val="0BDA7D8F"/>
    <w:rsid w:val="0C005C17"/>
    <w:rsid w:val="0D7412BB"/>
    <w:rsid w:val="0E636355"/>
    <w:rsid w:val="0EFD4396"/>
    <w:rsid w:val="0FC15038"/>
    <w:rsid w:val="10332458"/>
    <w:rsid w:val="107A4699"/>
    <w:rsid w:val="11AF73AB"/>
    <w:rsid w:val="126776D1"/>
    <w:rsid w:val="14315B82"/>
    <w:rsid w:val="16B81F7C"/>
    <w:rsid w:val="173B413A"/>
    <w:rsid w:val="18431878"/>
    <w:rsid w:val="18621628"/>
    <w:rsid w:val="198B4DF1"/>
    <w:rsid w:val="1A4F6012"/>
    <w:rsid w:val="1C67203D"/>
    <w:rsid w:val="1C790F6F"/>
    <w:rsid w:val="1D8E3A0F"/>
    <w:rsid w:val="1F7A013A"/>
    <w:rsid w:val="1FC03779"/>
    <w:rsid w:val="20AE6031"/>
    <w:rsid w:val="23AD230C"/>
    <w:rsid w:val="24381DCA"/>
    <w:rsid w:val="2BE64613"/>
    <w:rsid w:val="2E707A18"/>
    <w:rsid w:val="31A948C7"/>
    <w:rsid w:val="32373439"/>
    <w:rsid w:val="337A3E4C"/>
    <w:rsid w:val="38440F2C"/>
    <w:rsid w:val="39731FA0"/>
    <w:rsid w:val="3A80528D"/>
    <w:rsid w:val="3AA242F6"/>
    <w:rsid w:val="3BD722B7"/>
    <w:rsid w:val="3D8E1651"/>
    <w:rsid w:val="3DE26808"/>
    <w:rsid w:val="3F8857E6"/>
    <w:rsid w:val="40544069"/>
    <w:rsid w:val="433C4C82"/>
    <w:rsid w:val="456361BB"/>
    <w:rsid w:val="45BB2836"/>
    <w:rsid w:val="4A7B450E"/>
    <w:rsid w:val="4ADD0932"/>
    <w:rsid w:val="4BF135B1"/>
    <w:rsid w:val="4C7B6EE3"/>
    <w:rsid w:val="4CD77E9C"/>
    <w:rsid w:val="4D3E4B42"/>
    <w:rsid w:val="4DEA677F"/>
    <w:rsid w:val="514E64BB"/>
    <w:rsid w:val="520C5F29"/>
    <w:rsid w:val="548D4196"/>
    <w:rsid w:val="55A50F0C"/>
    <w:rsid w:val="58377250"/>
    <w:rsid w:val="5A577FE7"/>
    <w:rsid w:val="5C9130F4"/>
    <w:rsid w:val="5E0A05A1"/>
    <w:rsid w:val="5EB67C1D"/>
    <w:rsid w:val="602B67B5"/>
    <w:rsid w:val="61711FF1"/>
    <w:rsid w:val="62A51A75"/>
    <w:rsid w:val="64165181"/>
    <w:rsid w:val="667C0274"/>
    <w:rsid w:val="676B1944"/>
    <w:rsid w:val="68764971"/>
    <w:rsid w:val="6945798C"/>
    <w:rsid w:val="6A934661"/>
    <w:rsid w:val="6C420BD7"/>
    <w:rsid w:val="70723396"/>
    <w:rsid w:val="7089745F"/>
    <w:rsid w:val="71754EF2"/>
    <w:rsid w:val="738128EA"/>
    <w:rsid w:val="76B8551E"/>
    <w:rsid w:val="78E44210"/>
    <w:rsid w:val="7A2159A4"/>
    <w:rsid w:val="7A4D12AA"/>
    <w:rsid w:val="7AAE7223"/>
    <w:rsid w:val="7F262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qq</cp:lastModifiedBy>
  <cp:lastPrinted>2019-05-13T03:19:00Z</cp:lastPrinted>
  <dcterms:modified xsi:type="dcterms:W3CDTF">2020-06-10T04:17:38Z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