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0260-2020-Q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新疆浩之帆石油机械有限公司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18.05.02,18.08.00,</w:t>
            </w:r>
          </w:p>
          <w:p>
            <w:pPr>
              <w:spacing w:line="240" w:lineRule="exact"/>
              <w:jc w:val="center"/>
              <w:rPr>
                <w:b/>
                <w:color w:val="000000"/>
                <w:sz w:val="20"/>
                <w:szCs w:val="20"/>
              </w:rPr>
            </w:pPr>
            <w:r>
              <w:rPr>
                <w:b/>
                <w:color w:val="000000"/>
                <w:sz w:val="20"/>
                <w:szCs w:val="20"/>
              </w:rPr>
              <w:t>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新疆浩之帆石油机械有限公司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新疆乌鲁木齐市沙依巴克区哈密南路45号众福苑三期4号楼4单元301室</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830099</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新疆克拉玛依市东岭路12号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834009</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孙彪</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18130878787</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范鸿驿</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孙彪</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2020年01月10日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石油专用设备（泥浆净化系统、加工罐）、沙漠野营房的生产，钻机维修及技术服务</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18.05.02;18.08.00;34.06.00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hint="eastAsia" w:ascii="宋体"/>
                <w:b/>
                <w:color w:val="000000"/>
                <w:sz w:val="20"/>
                <w:szCs w:val="20"/>
                <w:lang w:val="en-US" w:eastAsia="zh-CN"/>
              </w:rPr>
            </w:pPr>
            <w:r>
              <w:rPr>
                <w:rFonts w:hint="eastAsia" w:ascii="宋体"/>
                <w:b/>
                <w:color w:val="000000"/>
                <w:sz w:val="20"/>
                <w:szCs w:val="20"/>
                <w:lang w:val="en-US" w:eastAsia="zh-CN"/>
              </w:rPr>
              <w:t>见多场所清单。</w:t>
            </w:r>
          </w:p>
          <w:p>
            <w:pPr>
              <w:spacing w:line="280" w:lineRule="exact"/>
              <w:rPr>
                <w:rFonts w:hint="default" w:ascii="宋体"/>
                <w:b/>
                <w:color w:val="000000"/>
                <w:sz w:val="20"/>
                <w:szCs w:val="20"/>
                <w:lang w:val="en-US" w:eastAsia="zh-CN"/>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w:t>
      </w:r>
      <w:r>
        <w:rPr>
          <w:rFonts w:hint="eastAsia" w:ascii="宋体" w:hAnsi="宋体"/>
          <w:b/>
          <w:color w:val="000000"/>
          <w:sz w:val="20"/>
          <w:szCs w:val="20"/>
          <w:lang w:val="en-US" w:eastAsia="zh-CN"/>
        </w:rPr>
        <w:t>远程</w:t>
      </w:r>
      <w:r>
        <w:rPr>
          <w:rFonts w:hint="eastAsia" w:ascii="宋体" w:hAnsi="宋体"/>
          <w:b/>
          <w:color w:val="000000"/>
          <w:sz w:val="20"/>
          <w:szCs w:val="20"/>
        </w:rPr>
        <w:t>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val="en-US"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b/>
          <w:color w:val="000000"/>
          <w:sz w:val="20"/>
          <w:szCs w:val="20"/>
          <w:lang w:val="en-US" w:eastAsia="zh-CN"/>
        </w:rPr>
        <w:t>行政部、生产部、经营部、质量部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办公室及生产车间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val="en-US" w:eastAsia="zh-CN"/>
        </w:rPr>
        <w:t>远程</w:t>
      </w:r>
      <w:r>
        <w:rPr>
          <w:rFonts w:hint="eastAsia" w:ascii="宋体" w:hAnsi="宋体"/>
          <w:b/>
          <w:color w:val="000000"/>
          <w:sz w:val="20"/>
          <w:szCs w:val="20"/>
        </w:rPr>
        <w:t>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石油专用设备（泥浆净化系统、加工罐）、沙漠野营房的生产，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钻机维修及技术服务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行政部、生产部、经营部、质量部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质量部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bookmarkStart w:id="24" w:name="生产地址"/>
            <w:r>
              <w:t>新疆克拉玛依市东岭路12号</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r>
              <w:rPr>
                <w:rFonts w:hint="eastAsia" w:ascii="宋体"/>
                <w:color w:val="000000"/>
                <w:sz w:val="20"/>
                <w:szCs w:val="20"/>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新疆克拉玛依市东岭路12号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lang w:eastAsia="zh-CN"/>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widowControl/>
              <w:spacing w:line="400" w:lineRule="exact"/>
              <w:rPr>
                <w:rFonts w:hint="eastAsia" w:ascii="宋体" w:hAnsi="宋体"/>
                <w:sz w:val="21"/>
                <w:szCs w:val="21"/>
                <w:highlight w:val="none"/>
                <w:lang w:val="en-US" w:eastAsia="zh-CN"/>
              </w:rPr>
            </w:pPr>
            <w:r>
              <w:rPr>
                <w:rFonts w:hint="eastAsia" w:ascii="宋体" w:hAnsi="宋体"/>
                <w:sz w:val="21"/>
                <w:szCs w:val="21"/>
                <w:highlight w:val="none"/>
              </w:rPr>
              <w:t>野营房制造工艺</w:t>
            </w:r>
            <w:r>
              <w:rPr>
                <w:rFonts w:hint="eastAsia" w:ascii="宋体" w:hAnsi="宋体"/>
                <w:sz w:val="21"/>
                <w:szCs w:val="21"/>
                <w:highlight w:val="none"/>
                <w:lang w:val="en-US" w:eastAsia="zh-CN"/>
              </w:rPr>
              <w:t>流程：</w:t>
            </w:r>
          </w:p>
          <w:p>
            <w:pPr>
              <w:widowControl/>
              <w:spacing w:line="40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原材料采购——</w:t>
            </w:r>
            <w:r>
              <w:rPr>
                <w:rFonts w:hint="eastAsia" w:ascii="宋体" w:hAnsi="宋体"/>
                <w:sz w:val="21"/>
                <w:szCs w:val="21"/>
                <w:highlight w:val="none"/>
              </w:rPr>
              <w:t>房底制作</w:t>
            </w:r>
            <w:r>
              <w:rPr>
                <w:rFonts w:hint="eastAsia" w:ascii="宋体" w:hAnsi="宋体"/>
                <w:sz w:val="21"/>
                <w:szCs w:val="21"/>
                <w:highlight w:val="none"/>
                <w:lang w:eastAsia="zh-CN"/>
              </w:rPr>
              <w:t>——</w:t>
            </w:r>
            <w:r>
              <w:rPr>
                <w:rFonts w:hint="eastAsia" w:ascii="宋体" w:hAnsi="宋体"/>
                <w:sz w:val="21"/>
                <w:szCs w:val="21"/>
                <w:highlight w:val="none"/>
              </w:rPr>
              <w:t>房顶制作</w:t>
            </w:r>
            <w:r>
              <w:rPr>
                <w:rFonts w:hint="eastAsia" w:ascii="宋体" w:hAnsi="宋体"/>
                <w:sz w:val="21"/>
                <w:szCs w:val="21"/>
                <w:highlight w:val="none"/>
                <w:lang w:eastAsia="zh-CN"/>
              </w:rPr>
              <w:t>——</w:t>
            </w:r>
            <w:r>
              <w:rPr>
                <w:rFonts w:hint="eastAsia" w:ascii="宋体" w:hAnsi="宋体"/>
                <w:sz w:val="21"/>
                <w:szCs w:val="21"/>
                <w:highlight w:val="none"/>
              </w:rPr>
              <w:t>房体制作</w:t>
            </w:r>
            <w:r>
              <w:rPr>
                <w:rFonts w:hint="eastAsia" w:ascii="宋体" w:hAnsi="宋体"/>
                <w:sz w:val="21"/>
                <w:szCs w:val="21"/>
                <w:highlight w:val="none"/>
                <w:lang w:eastAsia="zh-CN"/>
              </w:rPr>
              <w:t>——</w:t>
            </w:r>
            <w:r>
              <w:rPr>
                <w:rFonts w:hint="eastAsia" w:ascii="宋体" w:hAnsi="宋体"/>
                <w:sz w:val="21"/>
                <w:szCs w:val="21"/>
                <w:highlight w:val="none"/>
              </w:rPr>
              <w:t>门窗安装</w:t>
            </w:r>
            <w:r>
              <w:rPr>
                <w:rFonts w:hint="eastAsia" w:ascii="宋体" w:hAnsi="宋体"/>
                <w:sz w:val="21"/>
                <w:szCs w:val="21"/>
                <w:highlight w:val="none"/>
                <w:lang w:eastAsia="zh-CN"/>
              </w:rPr>
              <w:t>——</w:t>
            </w:r>
            <w:r>
              <w:rPr>
                <w:rFonts w:hint="eastAsia" w:ascii="宋体" w:hAnsi="宋体"/>
                <w:sz w:val="21"/>
                <w:szCs w:val="21"/>
                <w:highlight w:val="none"/>
              </w:rPr>
              <w:t>内装潢</w:t>
            </w:r>
            <w:r>
              <w:rPr>
                <w:rFonts w:hint="eastAsia" w:ascii="宋体" w:hAnsi="宋体"/>
                <w:sz w:val="21"/>
                <w:szCs w:val="21"/>
                <w:highlight w:val="none"/>
                <w:lang w:eastAsia="zh-CN"/>
              </w:rPr>
              <w:t>——</w:t>
            </w:r>
            <w:r>
              <w:rPr>
                <w:rFonts w:hint="eastAsia" w:ascii="宋体" w:hAnsi="宋体"/>
                <w:sz w:val="21"/>
                <w:szCs w:val="21"/>
                <w:highlight w:val="none"/>
              </w:rPr>
              <w:t>涂漆</w:t>
            </w:r>
            <w:r>
              <w:rPr>
                <w:rFonts w:hint="eastAsia" w:ascii="宋体" w:hAnsi="宋体"/>
                <w:sz w:val="21"/>
                <w:szCs w:val="21"/>
                <w:highlight w:val="none"/>
                <w:lang w:eastAsia="zh-CN"/>
              </w:rPr>
              <w:t>——</w:t>
            </w:r>
            <w:r>
              <w:rPr>
                <w:rFonts w:hint="eastAsia" w:ascii="宋体" w:hAnsi="宋体"/>
                <w:sz w:val="21"/>
                <w:szCs w:val="21"/>
                <w:highlight w:val="none"/>
              </w:rPr>
              <w:t>标识</w:t>
            </w:r>
          </w:p>
          <w:p>
            <w:pPr>
              <w:widowControl/>
              <w:spacing w:line="400" w:lineRule="exact"/>
              <w:rPr>
                <w:rFonts w:hint="eastAsia" w:ascii="宋体" w:hAnsi="宋体"/>
                <w:sz w:val="21"/>
                <w:szCs w:val="21"/>
                <w:highlight w:val="none"/>
                <w:lang w:val="en-US" w:eastAsia="zh-CN"/>
              </w:rPr>
            </w:pPr>
            <w:r>
              <w:rPr>
                <w:rFonts w:hint="eastAsia" w:ascii="宋体" w:hAnsi="宋体"/>
                <w:sz w:val="21"/>
                <w:szCs w:val="21"/>
                <w:highlight w:val="none"/>
              </w:rPr>
              <w:t>泥浆净化系统制造工艺</w:t>
            </w:r>
            <w:r>
              <w:rPr>
                <w:rFonts w:hint="eastAsia" w:ascii="宋体" w:hAnsi="宋体"/>
                <w:sz w:val="21"/>
                <w:szCs w:val="21"/>
                <w:highlight w:val="none"/>
                <w:lang w:val="en-US" w:eastAsia="zh-CN"/>
              </w:rPr>
              <w:t>流程：</w:t>
            </w:r>
          </w:p>
          <w:p>
            <w:pPr>
              <w:widowControl/>
              <w:spacing w:line="40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原材料采购——罐体制作——涂漆——安装振动筛——安装除砂、除泥、清洁器——安装离心机、除砂泵——总装及试车、检验</w:t>
            </w:r>
          </w:p>
          <w:p>
            <w:pPr>
              <w:widowControl/>
              <w:spacing w:line="40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维修及技术服务流程：</w:t>
            </w:r>
          </w:p>
          <w:p>
            <w:pPr>
              <w:widowControl/>
              <w:spacing w:line="40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客户需求——查阅相关产品技术资料——出具维修及技术方案——前往客户现场（或产品返厂）进行服务——满意度调查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总装及试车过程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总装及试车作业指导书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焊接过程、涂漆过程、</w:t>
            </w:r>
            <w:bookmarkStart w:id="25" w:name="_GoBack"/>
            <w:bookmarkEnd w:id="25"/>
            <w:r>
              <w:rPr>
                <w:rFonts w:hint="eastAsia" w:ascii="宋体" w:hAnsi="宋体"/>
                <w:color w:val="000000"/>
                <w:sz w:val="20"/>
                <w:szCs w:val="20"/>
                <w:lang w:val="en-US" w:eastAsia="zh-CN"/>
              </w:rPr>
              <w:t>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highlight w:val="none"/>
              </w:rPr>
            </w:pPr>
            <w:r>
              <w:rPr>
                <w:rFonts w:hint="eastAsia" w:ascii="宋体" w:hAnsi="宋体"/>
                <w:color w:val="000000"/>
                <w:sz w:val="20"/>
                <w:szCs w:val="20"/>
                <w:highlight w:val="none"/>
              </w:rPr>
              <w:t>主要设备</w:t>
            </w:r>
          </w:p>
        </w:tc>
        <w:tc>
          <w:tcPr>
            <w:tcW w:w="7427" w:type="dxa"/>
          </w:tcPr>
          <w:p>
            <w:pPr>
              <w:rPr>
                <w:rFonts w:hint="default" w:ascii="宋体" w:hAnsi="宋体"/>
                <w:color w:val="000000"/>
                <w:sz w:val="20"/>
                <w:szCs w:val="20"/>
                <w:lang w:val="en-US" w:eastAsia="zh-CN"/>
              </w:rPr>
            </w:pPr>
            <w:r>
              <w:rPr>
                <w:rFonts w:hint="eastAsia" w:ascii="宋体" w:hAnsi="宋体"/>
                <w:color w:val="000000"/>
                <w:sz w:val="20"/>
                <w:szCs w:val="20"/>
                <w:lang w:val="en-US" w:eastAsia="zh-CN"/>
              </w:rPr>
              <w:t>主要设备：：高速型材切割机、台式钻床、气动攻丝机、离心风机剪板机、折弯机、电焊机、气体保护焊机等52台套等，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highlight w:val="none"/>
              </w:rPr>
            </w:pPr>
          </w:p>
        </w:tc>
        <w:tc>
          <w:tcPr>
            <w:tcW w:w="7427" w:type="dxa"/>
          </w:tcPr>
          <w:p>
            <w:pPr>
              <w:rPr>
                <w:rFonts w:hint="eastAsia" w:ascii="宋体" w:hAnsi="宋体"/>
                <w:color w:val="000000"/>
                <w:sz w:val="20"/>
                <w:szCs w:val="20"/>
                <w:lang w:val="en-US" w:eastAsia="zh-CN"/>
              </w:rPr>
            </w:pPr>
            <w:r>
              <w:rPr>
                <w:rFonts w:hint="eastAsia" w:ascii="宋体" w:hAnsi="宋体"/>
                <w:color w:val="000000"/>
                <w:sz w:val="20"/>
                <w:szCs w:val="20"/>
                <w:lang w:val="en-US" w:eastAsia="zh-CN"/>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highlight w:val="none"/>
              </w:rPr>
            </w:pPr>
          </w:p>
        </w:tc>
        <w:tc>
          <w:tcPr>
            <w:tcW w:w="7427" w:type="dxa"/>
          </w:tcPr>
          <w:p>
            <w:pPr>
              <w:rPr>
                <w:rFonts w:hint="eastAsia" w:ascii="宋体" w:hAnsi="宋体"/>
                <w:color w:val="000000"/>
                <w:sz w:val="20"/>
                <w:szCs w:val="20"/>
                <w:lang w:val="en-US" w:eastAsia="zh-CN"/>
              </w:rPr>
            </w:pPr>
            <w:r>
              <w:rPr>
                <w:rFonts w:hint="eastAsia" w:ascii="宋体" w:hAnsi="宋体"/>
                <w:color w:val="000000"/>
                <w:sz w:val="20"/>
                <w:szCs w:val="20"/>
                <w:lang w:val="en-US" w:eastAsia="zh-CN"/>
              </w:rPr>
              <w:t>特种设备：行车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highlight w:val="none"/>
              </w:rPr>
            </w:pPr>
          </w:p>
        </w:tc>
        <w:tc>
          <w:tcPr>
            <w:tcW w:w="7427" w:type="dxa"/>
          </w:tcPr>
          <w:p>
            <w:pPr>
              <w:rPr>
                <w:rFonts w:ascii="宋体"/>
                <w:color w:val="000000"/>
                <w:sz w:val="20"/>
                <w:szCs w:val="20"/>
                <w:highlight w:val="none"/>
              </w:rPr>
            </w:pPr>
            <w:r>
              <w:rPr>
                <w:rFonts w:hint="eastAsia" w:ascii="宋体" w:hAnsi="宋体"/>
                <w:color w:val="000000"/>
                <w:sz w:val="20"/>
                <w:szCs w:val="20"/>
                <w:highlight w:val="none"/>
              </w:rPr>
              <w:t>特种设备是否按规定检定</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highlight w:val="none"/>
              </w:rPr>
            </w:pPr>
            <w:r>
              <w:rPr>
                <w:rFonts w:hint="eastAsia" w:ascii="宋体" w:hAnsi="宋体"/>
                <w:color w:val="000000"/>
                <w:sz w:val="20"/>
                <w:szCs w:val="20"/>
                <w:highlight w:val="none"/>
              </w:rPr>
              <w:t>主要监视和测量</w:t>
            </w:r>
          </w:p>
          <w:p>
            <w:pPr>
              <w:rPr>
                <w:rFonts w:ascii="宋体"/>
                <w:color w:val="000000"/>
                <w:sz w:val="20"/>
                <w:szCs w:val="20"/>
                <w:highlight w:val="none"/>
              </w:rPr>
            </w:pPr>
            <w:r>
              <w:rPr>
                <w:rFonts w:hint="eastAsia" w:ascii="宋体" w:hAnsi="宋体"/>
                <w:color w:val="000000"/>
                <w:sz w:val="20"/>
                <w:szCs w:val="20"/>
                <w:highlight w:val="none"/>
              </w:rPr>
              <w:t>设备</w:t>
            </w:r>
          </w:p>
        </w:tc>
        <w:tc>
          <w:tcPr>
            <w:tcW w:w="7427" w:type="dxa"/>
          </w:tcPr>
          <w:p>
            <w:pPr>
              <w:rPr>
                <w:rFonts w:hint="default" w:ascii="宋体" w:eastAsia="宋体"/>
                <w:color w:val="000000"/>
                <w:sz w:val="20"/>
                <w:szCs w:val="20"/>
                <w:highlight w:val="none"/>
                <w:lang w:val="en-US" w:eastAsia="zh-CN"/>
              </w:rPr>
            </w:pPr>
            <w:r>
              <w:rPr>
                <w:rFonts w:hint="eastAsia" w:ascii="宋体"/>
                <w:color w:val="000000"/>
                <w:sz w:val="20"/>
                <w:szCs w:val="20"/>
                <w:highlight w:val="none"/>
              </w:rPr>
              <w:t>监视和测量设备（请简述主要监视和测量设备）：</w:t>
            </w:r>
            <w:r>
              <w:rPr>
                <w:rFonts w:hint="eastAsia" w:ascii="宋体"/>
                <w:color w:val="000000"/>
                <w:sz w:val="20"/>
                <w:szCs w:val="20"/>
                <w:highlight w:val="none"/>
                <w:lang w:val="en-US" w:eastAsia="zh-CN"/>
              </w:rPr>
              <w:t>游标卡尺、千分尺等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highlight w:val="none"/>
              </w:rPr>
            </w:pPr>
          </w:p>
        </w:tc>
        <w:tc>
          <w:tcPr>
            <w:tcW w:w="7427" w:type="dxa"/>
          </w:tcPr>
          <w:p>
            <w:pPr>
              <w:rPr>
                <w:rFonts w:ascii="宋体"/>
                <w:color w:val="000000"/>
                <w:sz w:val="20"/>
                <w:szCs w:val="20"/>
                <w:highlight w:val="none"/>
              </w:rPr>
            </w:pPr>
            <w:r>
              <w:rPr>
                <w:rFonts w:hint="eastAsia" w:ascii="宋体"/>
                <w:color w:val="000000"/>
                <w:sz w:val="20"/>
                <w:szCs w:val="20"/>
                <w:highlight w:val="none"/>
              </w:rPr>
              <w:t>检测设备是否满足要求□是</w:t>
            </w:r>
            <w:r>
              <w:rPr>
                <w:rFonts w:hint="eastAsia" w:ascii="宋体"/>
                <w:color w:val="000000"/>
                <w:sz w:val="20"/>
                <w:szCs w:val="20"/>
                <w:highlight w:val="none"/>
                <w:lang w:eastAsia="zh-CN"/>
              </w:rPr>
              <w:t>☑</w:t>
            </w:r>
            <w:r>
              <w:rPr>
                <w:rFonts w:hint="eastAsia" w:asci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40</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14</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生产部、质量部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hint="eastAsia" w:ascii="Times New Roman" w:hAnsi="Times New Roman" w:cs="Times New Roman"/>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Times New Roman" w:hAnsi="Times New Roman" w:cs="Times New Roman"/>
                <w:szCs w:val="21"/>
              </w:rPr>
              <w:t>建立有《内部审核控制程序》，于20</w:t>
            </w:r>
            <w:r>
              <w:rPr>
                <w:rFonts w:hint="eastAsia" w:ascii="Times New Roman" w:hAnsi="Times New Roman" w:cs="Times New Roman"/>
                <w:szCs w:val="21"/>
                <w:lang w:val="en-US" w:eastAsia="zh-CN"/>
              </w:rPr>
              <w:t>20</w:t>
            </w:r>
            <w:r>
              <w:rPr>
                <w:rFonts w:hint="eastAsia" w:ascii="Times New Roman" w:hAnsi="Times New Roman" w:cs="Times New Roman"/>
                <w:szCs w:val="21"/>
              </w:rPr>
              <w:t>年</w:t>
            </w:r>
            <w:r>
              <w:rPr>
                <w:rFonts w:hint="eastAsia" w:ascii="Times New Roman" w:hAnsi="Times New Roman" w:cs="Times New Roman"/>
                <w:szCs w:val="21"/>
                <w:lang w:val="en-US" w:eastAsia="zh-CN"/>
              </w:rPr>
              <w:t>3</w:t>
            </w:r>
            <w:r>
              <w:rPr>
                <w:rFonts w:hint="eastAsia" w:ascii="Times New Roman" w:hAnsi="Times New Roman" w:cs="Times New Roman"/>
                <w:szCs w:val="21"/>
              </w:rPr>
              <w:t>月</w:t>
            </w:r>
            <w:r>
              <w:rPr>
                <w:rFonts w:hint="eastAsia" w:ascii="Times New Roman" w:hAnsi="Times New Roman" w:cs="Times New Roman"/>
                <w:szCs w:val="21"/>
                <w:lang w:val="en-US" w:eastAsia="zh-CN"/>
              </w:rPr>
              <w:t>20日</w:t>
            </w:r>
            <w:r>
              <w:rPr>
                <w:rFonts w:hint="eastAsia" w:ascii="Times New Roman" w:hAnsi="Times New Roman" w:cs="Times New Roman"/>
                <w:szCs w:val="21"/>
              </w:rPr>
              <w:t>进行了内部审核。内部审核组组成:</w:t>
            </w:r>
            <w:r>
              <w:rPr>
                <w:rFonts w:hint="eastAsia" w:ascii="Times New Roman" w:hAnsi="Times New Roman" w:cs="Times New Roman"/>
                <w:szCs w:val="21"/>
                <w:lang w:val="en-US" w:eastAsia="zh-CN"/>
              </w:rPr>
              <w:t xml:space="preserve">   </w:t>
            </w:r>
            <w:r>
              <w:rPr>
                <w:rFonts w:hint="eastAsia" w:ascii="Times New Roman" w:hAnsi="Times New Roman" w:cs="Times New Roman"/>
                <w:szCs w:val="21"/>
                <w:lang w:eastAsia="zh-CN"/>
              </w:rPr>
              <w:t>组长：</w:t>
            </w:r>
            <w:r>
              <w:rPr>
                <w:rFonts w:hint="eastAsia" w:ascii="Times New Roman" w:hAnsi="Times New Roman" w:cs="Times New Roman"/>
                <w:szCs w:val="21"/>
              </w:rPr>
              <w:t xml:space="preserve"> </w:t>
            </w:r>
            <w:r>
              <w:rPr>
                <w:rFonts w:hint="eastAsia"/>
                <w:sz w:val="21"/>
                <w:szCs w:val="21"/>
                <w:lang w:val="en-US" w:eastAsia="zh-CN"/>
              </w:rPr>
              <w:t>孙彪</w:t>
            </w:r>
          </w:p>
          <w:p>
            <w:pPr>
              <w:spacing w:line="400" w:lineRule="exact"/>
              <w:rPr>
                <w:szCs w:val="21"/>
              </w:rPr>
            </w:pPr>
            <w:r>
              <w:rPr>
                <w:rFonts w:hint="eastAsia" w:ascii="Times New Roman" w:hAnsi="Times New Roman" w:cs="Times New Roman"/>
                <w:szCs w:val="21"/>
              </w:rPr>
              <w:t xml:space="preserve">   </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 xml:space="preserve"> </w:t>
            </w:r>
            <w:r>
              <w:rPr>
                <w:rFonts w:hint="eastAsia" w:ascii="Times New Roman" w:hAnsi="Times New Roman" w:cs="Times New Roman"/>
                <w:szCs w:val="21"/>
                <w:lang w:eastAsia="zh-CN"/>
              </w:rPr>
              <w:t>组</w:t>
            </w:r>
            <w:r>
              <w:rPr>
                <w:rFonts w:hint="eastAsia" w:ascii="Times New Roman" w:hAnsi="Times New Roman" w:cs="Times New Roman"/>
                <w:szCs w:val="21"/>
              </w:rPr>
              <w:t>员：</w:t>
            </w:r>
            <w:r>
              <w:rPr>
                <w:rFonts w:hint="eastAsia"/>
                <w:sz w:val="21"/>
                <w:szCs w:val="21"/>
                <w:lang w:val="en-US" w:eastAsia="zh-CN"/>
              </w:rPr>
              <w:t>李颖春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szCs w:val="21"/>
              </w:rPr>
            </w:pPr>
            <w:r>
              <w:rPr>
                <w:rFonts w:hint="eastAsia"/>
                <w:szCs w:val="21"/>
              </w:rPr>
              <w:t>审核范围:管理体系涉及的公司所有部门及活动场所。</w:t>
            </w:r>
          </w:p>
          <w:p>
            <w:pPr>
              <w:spacing w:line="400" w:lineRule="exact"/>
              <w:rPr>
                <w:szCs w:val="21"/>
              </w:rPr>
            </w:pPr>
            <w:r>
              <w:rPr>
                <w:rFonts w:hint="eastAsia"/>
                <w:szCs w:val="21"/>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rFonts w:ascii="宋体" w:hAnsi="宋体"/>
                <w:b/>
                <w:color w:val="000000"/>
                <w:sz w:val="20"/>
                <w:szCs w:val="20"/>
              </w:rPr>
            </w:pPr>
            <w:r>
              <w:rPr>
                <w:rFonts w:hint="eastAsia"/>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w:t>
            </w:r>
            <w:r>
              <w:rPr>
                <w:rFonts w:hint="eastAsia" w:ascii="宋体" w:hAnsi="宋体"/>
                <w:kern w:val="0"/>
                <w:szCs w:val="21"/>
                <w:lang w:val="en-US" w:eastAsia="zh-CN"/>
              </w:rPr>
              <w:t>20</w:t>
            </w:r>
            <w:r>
              <w:rPr>
                <w:rFonts w:hint="eastAsia" w:ascii="宋体" w:hAnsi="宋体"/>
                <w:kern w:val="0"/>
                <w:szCs w:val="21"/>
              </w:rPr>
              <w:t>年</w:t>
            </w:r>
            <w:r>
              <w:rPr>
                <w:rFonts w:hint="eastAsia" w:ascii="宋体" w:hAnsi="宋体"/>
                <w:kern w:val="0"/>
                <w:szCs w:val="21"/>
                <w:lang w:val="en-US" w:eastAsia="zh-CN"/>
              </w:rPr>
              <w:t>4</w:t>
            </w:r>
            <w:r>
              <w:rPr>
                <w:rFonts w:hint="eastAsia" w:ascii="宋体" w:hAnsi="宋体"/>
                <w:kern w:val="0"/>
                <w:szCs w:val="21"/>
              </w:rPr>
              <w:t>月</w:t>
            </w:r>
            <w:r>
              <w:rPr>
                <w:rFonts w:hint="eastAsia" w:ascii="宋体" w:hAnsi="宋体"/>
                <w:kern w:val="0"/>
                <w:szCs w:val="21"/>
                <w:lang w:val="en-US" w:eastAsia="zh-CN"/>
              </w:rPr>
              <w:t>10</w:t>
            </w:r>
            <w:r>
              <w:rPr>
                <w:rFonts w:hint="eastAsia" w:ascii="宋体" w:hAnsi="宋体"/>
                <w:kern w:val="0"/>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w:t>
      </w:r>
      <w:r>
        <w:rPr>
          <w:rFonts w:hint="eastAsia" w:ascii="宋体" w:hAnsi="宋体" w:cs="Times New Roman"/>
          <w:b/>
          <w:color w:val="000000"/>
          <w:sz w:val="20"/>
          <w:szCs w:val="20"/>
          <w:u w:val="single"/>
        </w:rPr>
        <w:t xml:space="preserve">石油专用设备（泥浆净化系统、加工罐）、沙漠野营房的生产，钻机维修及技术服务 </w:t>
      </w:r>
      <w:r>
        <w:rPr>
          <w:rFonts w:ascii="宋体" w:hAnsi="宋体"/>
          <w:b/>
          <w:color w:val="000000"/>
          <w:sz w:val="20"/>
          <w:szCs w:val="20"/>
        </w:rPr>
        <w:t>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p>
    <w:p>
      <w:pPr>
        <w:spacing w:before="156" w:beforeLines="50" w:after="62" w:afterLines="20" w:line="360" w:lineRule="exact"/>
        <w:ind w:firstLine="211" w:firstLineChars="100"/>
        <w:rPr>
          <w:rFonts w:ascii="宋体"/>
          <w:b/>
          <w:bCs/>
          <w:color w:val="000000"/>
          <w:sz w:val="26"/>
          <w:szCs w:val="26"/>
        </w:rPr>
      </w:pPr>
      <w:r>
        <w:rPr>
          <w:rFonts w:ascii="宋体" w:hAnsi="宋体"/>
          <w:b/>
          <w:color w:val="000000"/>
        </w:rPr>
        <w:drawing>
          <wp:anchor distT="0" distB="0" distL="114300" distR="114300" simplePos="0" relativeHeight="251658240" behindDoc="0" locked="0" layoutInCell="1" allowOverlap="1">
            <wp:simplePos x="0" y="0"/>
            <wp:positionH relativeFrom="column">
              <wp:posOffset>1918970</wp:posOffset>
            </wp:positionH>
            <wp:positionV relativeFrom="paragraph">
              <wp:posOffset>196850</wp:posOffset>
            </wp:positionV>
            <wp:extent cx="624205" cy="441325"/>
            <wp:effectExtent l="0" t="0" r="4445" b="15875"/>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6"/>
                    <a:stretch>
                      <a:fillRect/>
                    </a:stretch>
                  </pic:blipFill>
                  <pic:spPr>
                    <a:xfrm>
                      <a:off x="0" y="0"/>
                      <a:ext cx="624205" cy="441325"/>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hAnsi="宋体" w:eastAsia="宋体"/>
          <w:b/>
          <w:color w:val="000000"/>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2020.06.09</w:t>
      </w:r>
    </w:p>
    <w:p>
      <w:pPr>
        <w:ind w:firstLine="5644" w:firstLineChars="2677"/>
        <w:rPr>
          <w:rFonts w:ascii="宋体" w:hAnsi="宋体"/>
          <w:b/>
          <w:color w:val="000000"/>
        </w:rPr>
      </w:pP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rFonts w:hint="eastAsia" w:eastAsia="隶书" w:cs="Times New Roman"/>
          <w:color w:val="000000"/>
          <w:sz w:val="28"/>
          <w:szCs w:val="28"/>
        </w:rPr>
        <w:t>：新疆浩之帆石油机械有限公司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313"/>
        <w:gridCol w:w="1950"/>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313"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950"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917"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center"/>
              <w:rPr>
                <w:rFonts w:hint="eastAsia" w:ascii="Times New Roman" w:hAnsi="Times New Roman" w:eastAsia="宋体" w:cs="Times New Roman"/>
                <w:b/>
                <w:bCs/>
                <w:color w:val="000000"/>
                <w:kern w:val="2"/>
                <w:sz w:val="22"/>
                <w:szCs w:val="22"/>
                <w:lang w:val="en-US" w:eastAsia="zh-CN" w:bidi="ar-SA"/>
              </w:rPr>
            </w:pPr>
            <w:r>
              <w:rPr>
                <w:rFonts w:hint="eastAsia" w:ascii="Times New Roman" w:hAnsi="Times New Roman" w:eastAsia="宋体" w:cs="Times New Roman"/>
                <w:b/>
                <w:bCs/>
                <w:color w:val="000000"/>
                <w:kern w:val="2"/>
                <w:sz w:val="22"/>
                <w:szCs w:val="22"/>
                <w:lang w:val="en-US" w:eastAsia="zh-CN" w:bidi="ar-SA"/>
              </w:rPr>
              <w:t>1</w:t>
            </w:r>
          </w:p>
        </w:tc>
        <w:tc>
          <w:tcPr>
            <w:tcW w:w="5313" w:type="dxa"/>
            <w:vAlign w:val="center"/>
          </w:tcPr>
          <w:p>
            <w:pPr>
              <w:pStyle w:val="4"/>
              <w:pBdr>
                <w:bottom w:val="none" w:color="auto" w:sz="0" w:space="0"/>
              </w:pBdr>
              <w:tabs>
                <w:tab w:val="center" w:pos="5737"/>
                <w:tab w:val="clear" w:pos="4153"/>
              </w:tabs>
              <w:jc w:val="center"/>
              <w:rPr>
                <w:rFonts w:hint="default" w:ascii="Times New Roman" w:hAnsi="Times New Roman" w:eastAsia="宋体" w:cs="Times New Roman"/>
                <w:b/>
                <w:bCs/>
                <w:color w:val="000000"/>
                <w:kern w:val="2"/>
                <w:sz w:val="22"/>
                <w:szCs w:val="22"/>
                <w:lang w:val="en-US" w:eastAsia="zh-CN" w:bidi="ar-SA"/>
              </w:rPr>
            </w:pPr>
            <w:r>
              <w:rPr>
                <w:rFonts w:hint="eastAsia" w:ascii="Times New Roman" w:hAnsi="Times New Roman" w:eastAsia="宋体" w:cs="Times New Roman"/>
                <w:b/>
                <w:bCs/>
                <w:color w:val="000000"/>
                <w:kern w:val="2"/>
                <w:sz w:val="22"/>
                <w:szCs w:val="22"/>
                <w:lang w:val="en-US" w:eastAsia="zh-CN" w:bidi="ar-SA"/>
              </w:rPr>
              <w:t>游标卡尺、千分尺不能提供校准证书</w:t>
            </w:r>
          </w:p>
        </w:tc>
        <w:tc>
          <w:tcPr>
            <w:tcW w:w="1950" w:type="dxa"/>
            <w:vAlign w:val="center"/>
          </w:tcPr>
          <w:p>
            <w:pPr>
              <w:pStyle w:val="4"/>
              <w:pBdr>
                <w:bottom w:val="none" w:color="auto" w:sz="0" w:space="0"/>
              </w:pBdr>
              <w:ind w:right="600"/>
              <w:jc w:val="center"/>
              <w:rPr>
                <w:rFonts w:hint="default" w:ascii="Times New Roman" w:hAnsi="Times New Roman" w:eastAsia="宋体" w:cs="Times New Roman"/>
                <w:b/>
                <w:bCs/>
                <w:color w:val="000000"/>
                <w:kern w:val="2"/>
                <w:sz w:val="22"/>
                <w:szCs w:val="22"/>
                <w:lang w:val="en-US" w:eastAsia="zh-CN" w:bidi="ar-SA"/>
              </w:rPr>
            </w:pPr>
            <w:r>
              <w:rPr>
                <w:rFonts w:hint="eastAsia" w:ascii="Times New Roman" w:hAnsi="Times New Roman" w:cs="Times New Roman"/>
                <w:b/>
                <w:bCs/>
                <w:color w:val="000000"/>
                <w:kern w:val="2"/>
                <w:sz w:val="22"/>
                <w:szCs w:val="22"/>
                <w:lang w:val="en-US" w:eastAsia="zh-CN" w:bidi="ar-SA"/>
              </w:rPr>
              <w:t>GB/T19001</w:t>
            </w:r>
          </w:p>
        </w:tc>
        <w:tc>
          <w:tcPr>
            <w:tcW w:w="1917" w:type="dxa"/>
            <w:vAlign w:val="center"/>
          </w:tcPr>
          <w:p>
            <w:pPr>
              <w:pStyle w:val="4"/>
              <w:pBdr>
                <w:bottom w:val="none" w:color="auto" w:sz="0" w:space="0"/>
              </w:pBdr>
              <w:ind w:right="600"/>
              <w:jc w:val="center"/>
              <w:rPr>
                <w:rFonts w:hint="default" w:ascii="Times New Roman" w:hAnsi="Times New Roman" w:eastAsia="宋体" w:cs="Times New Roman"/>
                <w:b/>
                <w:bCs/>
                <w:color w:val="000000"/>
                <w:kern w:val="2"/>
                <w:sz w:val="22"/>
                <w:szCs w:val="22"/>
                <w:lang w:val="en-US" w:eastAsia="zh-CN" w:bidi="ar-SA"/>
              </w:rPr>
            </w:pPr>
            <w:r>
              <w:rPr>
                <w:rFonts w:hint="eastAsia" w:ascii="Times New Roman" w:hAnsi="Times New Roman" w:eastAsia="宋体" w:cs="Times New Roman"/>
                <w:b/>
                <w:bCs/>
                <w:color w:val="000000"/>
                <w:kern w:val="2"/>
                <w:sz w:val="22"/>
                <w:szCs w:val="22"/>
                <w:lang w:val="en-US" w:eastAsia="zh-CN" w:bidi="ar-SA"/>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313" w:type="dxa"/>
            <w:vAlign w:val="center"/>
          </w:tcPr>
          <w:p>
            <w:pPr>
              <w:pStyle w:val="4"/>
              <w:pBdr>
                <w:bottom w:val="none" w:color="auto" w:sz="0" w:space="0"/>
              </w:pBdr>
              <w:tabs>
                <w:tab w:val="center" w:pos="5737"/>
                <w:tab w:val="clear" w:pos="4153"/>
              </w:tabs>
              <w:jc w:val="both"/>
              <w:rPr>
                <w:color w:val="000000"/>
                <w:sz w:val="24"/>
                <w:szCs w:val="24"/>
              </w:rPr>
            </w:pPr>
          </w:p>
        </w:tc>
        <w:tc>
          <w:tcPr>
            <w:tcW w:w="1950" w:type="dxa"/>
            <w:vAlign w:val="center"/>
          </w:tcPr>
          <w:p>
            <w:pPr>
              <w:pStyle w:val="4"/>
              <w:pBdr>
                <w:bottom w:val="none" w:color="auto" w:sz="0" w:space="0"/>
              </w:pBdr>
              <w:ind w:right="600"/>
              <w:jc w:val="both"/>
              <w:rPr>
                <w:color w:val="000000"/>
                <w:sz w:val="32"/>
                <w:szCs w:val="32"/>
              </w:rPr>
            </w:pPr>
          </w:p>
        </w:tc>
        <w:tc>
          <w:tcPr>
            <w:tcW w:w="1917"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313" w:type="dxa"/>
            <w:vAlign w:val="center"/>
          </w:tcPr>
          <w:p>
            <w:pPr>
              <w:pStyle w:val="4"/>
              <w:pBdr>
                <w:bottom w:val="none" w:color="auto" w:sz="0" w:space="0"/>
              </w:pBdr>
              <w:tabs>
                <w:tab w:val="center" w:pos="5737"/>
                <w:tab w:val="clear" w:pos="4153"/>
              </w:tabs>
              <w:jc w:val="both"/>
              <w:rPr>
                <w:color w:val="000000"/>
                <w:sz w:val="24"/>
                <w:szCs w:val="24"/>
              </w:rPr>
            </w:pPr>
          </w:p>
        </w:tc>
        <w:tc>
          <w:tcPr>
            <w:tcW w:w="1950" w:type="dxa"/>
            <w:vAlign w:val="center"/>
          </w:tcPr>
          <w:p>
            <w:pPr>
              <w:pStyle w:val="4"/>
              <w:pBdr>
                <w:bottom w:val="none" w:color="auto" w:sz="0" w:space="0"/>
              </w:pBdr>
              <w:ind w:right="600"/>
              <w:jc w:val="both"/>
              <w:rPr>
                <w:color w:val="000000"/>
                <w:sz w:val="32"/>
                <w:szCs w:val="32"/>
              </w:rPr>
            </w:pPr>
          </w:p>
        </w:tc>
        <w:tc>
          <w:tcPr>
            <w:tcW w:w="1917"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313" w:type="dxa"/>
            <w:vAlign w:val="center"/>
          </w:tcPr>
          <w:p>
            <w:pPr>
              <w:pStyle w:val="4"/>
              <w:pBdr>
                <w:bottom w:val="none" w:color="auto" w:sz="0" w:space="0"/>
              </w:pBdr>
              <w:tabs>
                <w:tab w:val="center" w:pos="5737"/>
                <w:tab w:val="clear" w:pos="4153"/>
              </w:tabs>
              <w:jc w:val="both"/>
              <w:rPr>
                <w:color w:val="000000"/>
                <w:sz w:val="24"/>
                <w:szCs w:val="24"/>
              </w:rPr>
            </w:pPr>
          </w:p>
        </w:tc>
        <w:tc>
          <w:tcPr>
            <w:tcW w:w="1950" w:type="dxa"/>
            <w:vAlign w:val="center"/>
          </w:tcPr>
          <w:p>
            <w:pPr>
              <w:pStyle w:val="4"/>
              <w:pBdr>
                <w:bottom w:val="none" w:color="auto" w:sz="0" w:space="0"/>
              </w:pBdr>
              <w:ind w:right="600"/>
              <w:jc w:val="both"/>
              <w:rPr>
                <w:color w:val="000000"/>
                <w:sz w:val="32"/>
                <w:szCs w:val="32"/>
              </w:rPr>
            </w:pPr>
          </w:p>
        </w:tc>
        <w:tc>
          <w:tcPr>
            <w:tcW w:w="1917"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40" w:lineRule="auto"/>
              <w:rPr>
                <w:rFonts w:hint="eastAsia"/>
                <w:b/>
                <w:color w:val="000000"/>
                <w:sz w:val="22"/>
                <w:szCs w:val="22"/>
              </w:rPr>
            </w:pPr>
            <w:r>
              <w:rPr>
                <w:rFonts w:hint="eastAsia" w:eastAsia="宋体"/>
                <w:b/>
                <w:color w:val="000000"/>
                <w:sz w:val="22"/>
                <w:szCs w:val="22"/>
                <w:lang w:eastAsia="zh-CN"/>
              </w:rPr>
              <w:drawing>
                <wp:anchor distT="0" distB="0" distL="114300" distR="114300" simplePos="0" relativeHeight="251659264" behindDoc="0" locked="0" layoutInCell="1" allowOverlap="1">
                  <wp:simplePos x="0" y="0"/>
                  <wp:positionH relativeFrom="column">
                    <wp:posOffset>655320</wp:posOffset>
                  </wp:positionH>
                  <wp:positionV relativeFrom="paragraph">
                    <wp:posOffset>109220</wp:posOffset>
                  </wp:positionV>
                  <wp:extent cx="503555" cy="356235"/>
                  <wp:effectExtent l="0" t="0" r="10795" b="5080"/>
                  <wp:wrapSquare wrapText="bothSides"/>
                  <wp:docPr id="3" name="图片 3"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林签名"/>
                          <pic:cNvPicPr>
                            <a:picLocks noChangeAspect="1"/>
                          </pic:cNvPicPr>
                        </pic:nvPicPr>
                        <pic:blipFill>
                          <a:blip r:embed="rId7"/>
                          <a:stretch>
                            <a:fillRect/>
                          </a:stretch>
                        </pic:blipFill>
                        <pic:spPr>
                          <a:xfrm>
                            <a:off x="0" y="0"/>
                            <a:ext cx="503555" cy="356235"/>
                          </a:xfrm>
                          <a:prstGeom prst="rect">
                            <a:avLst/>
                          </a:prstGeom>
                        </pic:spPr>
                      </pic:pic>
                    </a:graphicData>
                  </a:graphic>
                </wp:anchor>
              </w:drawing>
            </w:r>
          </w:p>
          <w:p>
            <w:pPr>
              <w:spacing w:line="240" w:lineRule="auto"/>
              <w:rPr>
                <w:rFonts w:hint="eastAsia" w:eastAsia="宋体"/>
                <w:b/>
                <w:color w:val="000000"/>
                <w:sz w:val="22"/>
                <w:szCs w:val="22"/>
                <w:lang w:eastAsia="zh-CN"/>
              </w:rPr>
            </w:pPr>
            <w:r>
              <w:rPr>
                <w:rFonts w:hint="eastAsia"/>
                <w:b/>
                <w:color w:val="000000"/>
                <w:sz w:val="22"/>
                <w:szCs w:val="22"/>
              </w:rPr>
              <w:t>审核员：</w:t>
            </w:r>
          </w:p>
          <w:p>
            <w:pPr>
              <w:spacing w:line="280" w:lineRule="exact"/>
              <w:ind w:firstLine="1988" w:firstLineChars="900"/>
              <w:rPr>
                <w:rFonts w:hint="default" w:eastAsia="宋体"/>
                <w:b/>
                <w:color w:val="000000"/>
                <w:sz w:val="22"/>
                <w:szCs w:val="22"/>
                <w:lang w:val="en-US" w:eastAsia="zh-CN"/>
              </w:rPr>
            </w:pPr>
            <w:r>
              <w:rPr>
                <w:rFonts w:hint="eastAsia"/>
                <w:b/>
                <w:color w:val="000000"/>
                <w:sz w:val="22"/>
                <w:szCs w:val="22"/>
              </w:rPr>
              <w:t>日期：</w:t>
            </w:r>
            <w:r>
              <w:rPr>
                <w:rFonts w:hint="eastAsia"/>
                <w:b/>
                <w:color w:val="000000"/>
                <w:sz w:val="22"/>
                <w:szCs w:val="22"/>
                <w:lang w:val="en-US" w:eastAsia="zh-CN"/>
              </w:rPr>
              <w:t>2020年06月09日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日期：</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C02C8C"/>
    <w:rsid w:val="062D4489"/>
    <w:rsid w:val="0DA01203"/>
    <w:rsid w:val="18010FCC"/>
    <w:rsid w:val="29767DBC"/>
    <w:rsid w:val="34E93492"/>
    <w:rsid w:val="38B075AA"/>
    <w:rsid w:val="3B715C1A"/>
    <w:rsid w:val="415A4B73"/>
    <w:rsid w:val="45F44F99"/>
    <w:rsid w:val="49AF0995"/>
    <w:rsid w:val="4C7168E0"/>
    <w:rsid w:val="4C931EFA"/>
    <w:rsid w:val="599F3C13"/>
    <w:rsid w:val="60D14FA6"/>
    <w:rsid w:val="61AF6C18"/>
    <w:rsid w:val="63C23289"/>
    <w:rsid w:val="661233A0"/>
    <w:rsid w:val="727A2715"/>
    <w:rsid w:val="755C35A2"/>
    <w:rsid w:val="790840F0"/>
    <w:rsid w:val="7B601716"/>
    <w:rsid w:val="7F43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2020-06-11T09:28:29Z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