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天津大港油田石油工程研究院钻采技术开发有限公司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0951-2021-2024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0951-2021-2024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天津大港油田石油工程研究院钻采技术开发有限公司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张子佳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ISC-2021-1110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