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20635-2024-FH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阳江市澳德食品有限公司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蔡惠娜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F:CIV-6</w:t>
            </w:r>
          </w:p>
          <w:p w:rsidR="00A824E9">
            <w:pPr>
              <w:spacing w:line="360" w:lineRule="exact"/>
              <w:jc w:val="center"/>
              <w:rPr>
                <w:b/>
                <w:szCs w:val="21"/>
              </w:rPr>
            </w:pPr>
            <w:r>
              <w:rPr>
                <w:b/>
                <w:szCs w:val="21"/>
              </w:rPr>
              <w:t>H:CIV-6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2024-N0FSMS-1288497</w:t>
            </w:r>
          </w:p>
          <w:p w:rsidR="00A824E9">
            <w:pPr>
              <w:spacing w:line="360" w:lineRule="exact"/>
              <w:jc w:val="center"/>
              <w:rPr>
                <w:b/>
                <w:szCs w:val="21"/>
              </w:rPr>
            </w:pPr>
            <w:r>
              <w:rPr>
                <w:b/>
                <w:szCs w:val="21"/>
              </w:rPr>
              <w:t>ISC-288497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2024年09月13日 下午至2024年09月16日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阳江市江城区银珠一路22号(住所申报)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阳江市江城区银珠一路22号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