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北京华晨金鼎汽车销售服务有限公司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0241-2020-QE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杜明军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13901106570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eastAsia="zh-CN"/>
              </w:rPr>
              <w:t>周浙平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Q：一类汽车维修（大中型客车维修、大型货车维修、小型车维修）</w:t>
            </w:r>
          </w:p>
          <w:p>
            <w:r>
              <w:t>E：一类汽车维修（大中型客车维修、大型货车维修、小型车维修）所涉及场所的相关环境管理活动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Q：29.02.00</w:t>
            </w:r>
          </w:p>
          <w:p>
            <w:r>
              <w:t>E：29.02.00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2020年06月08日 上午至2020年06月09日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周磊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Q:</w:t>
            </w:r>
            <w:r>
              <w:rPr>
                <w:rFonts w:hint="eastAsia"/>
                <w:lang w:val="en-US" w:eastAsia="zh-CN"/>
              </w:rPr>
              <w:t>29.02.00</w:t>
            </w:r>
          </w:p>
          <w:p>
            <w:pPr>
              <w:jc w:val="center"/>
            </w:pPr>
            <w:r>
              <w:t>E:</w:t>
            </w:r>
            <w:r>
              <w:rPr>
                <w:rFonts w:hint="eastAsia"/>
                <w:lang w:val="en-US" w:eastAsia="zh-CN"/>
              </w:rPr>
              <w:t>29.02.00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15311194484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ISC-JSZJ-060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巡视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12:00-13:00午餐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主要内容：资质证照/证件符合和有效性确认；组织基本概况（</w:t>
            </w:r>
            <w:r>
              <w:rPr>
                <w:rFonts w:ascii="宋体" w:hAnsi="宋体" w:cs="Arial"/>
                <w:sz w:val="21"/>
                <w:szCs w:val="21"/>
              </w:rPr>
              <w:t>包括组织规模、运作场所分布、组织结构及职责分配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资源配置情况、管体系覆盖人数等</w:t>
            </w:r>
            <w:r>
              <w:rPr>
                <w:rFonts w:hint="eastAsia" w:ascii="宋体" w:hAnsi="宋体" w:cs="Arial"/>
                <w:sz w:val="21"/>
                <w:szCs w:val="21"/>
              </w:rPr>
              <w:t>），初步确定审核</w:t>
            </w:r>
            <w:r>
              <w:rPr>
                <w:rFonts w:ascii="宋体" w:hAnsi="宋体" w:cs="Arial"/>
                <w:sz w:val="21"/>
                <w:szCs w:val="21"/>
              </w:rPr>
              <w:t>范围</w:t>
            </w:r>
            <w:r>
              <w:rPr>
                <w:rFonts w:hint="eastAsia" w:ascii="宋体" w:hAnsi="宋体" w:cs="Arial"/>
                <w:sz w:val="21"/>
                <w:szCs w:val="21"/>
              </w:rPr>
              <w:t>；理解组织及其所处的环境；管理</w:t>
            </w:r>
            <w:r>
              <w:rPr>
                <w:rFonts w:ascii="宋体" w:hAnsi="宋体" w:cs="Arial"/>
                <w:sz w:val="21"/>
                <w:szCs w:val="21"/>
              </w:rPr>
              <w:t>体系的策划情况</w:t>
            </w:r>
            <w:r>
              <w:rPr>
                <w:rFonts w:hint="eastAsia" w:ascii="宋体" w:hAnsi="宋体" w:cs="Arial"/>
                <w:sz w:val="21"/>
                <w:szCs w:val="21"/>
              </w:rPr>
              <w:t>；管理</w:t>
            </w:r>
            <w:r>
              <w:rPr>
                <w:rFonts w:ascii="宋体" w:hAnsi="宋体" w:cs="Arial"/>
                <w:sz w:val="21"/>
                <w:szCs w:val="21"/>
              </w:rPr>
              <w:t>方针</w:t>
            </w:r>
            <w:r>
              <w:rPr>
                <w:rFonts w:hint="eastAsia" w:ascii="宋体" w:hAnsi="宋体" w:cs="Arial"/>
                <w:sz w:val="21"/>
                <w:szCs w:val="21"/>
              </w:rPr>
              <w:t>，管理</w:t>
            </w:r>
            <w:r>
              <w:rPr>
                <w:rFonts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指标</w:t>
            </w:r>
            <w:r>
              <w:rPr>
                <w:rFonts w:hint="eastAsia" w:ascii="宋体" w:hAnsi="宋体" w:cs="Arial"/>
                <w:sz w:val="21"/>
                <w:szCs w:val="21"/>
              </w:rPr>
              <w:t>策划</w:t>
            </w:r>
            <w:r>
              <w:rPr>
                <w:rFonts w:ascii="宋体" w:hAnsi="宋体" w:cs="Arial"/>
                <w:sz w:val="21"/>
                <w:szCs w:val="21"/>
              </w:rPr>
              <w:t>合理性及管理方案的可行性</w:t>
            </w:r>
            <w:r>
              <w:rPr>
                <w:rFonts w:hint="eastAsia" w:ascii="宋体" w:hAnsi="宋体" w:cs="Arial"/>
                <w:sz w:val="21"/>
                <w:szCs w:val="21"/>
              </w:rPr>
              <w:t>；合规义务/</w:t>
            </w:r>
            <w:r>
              <w:rPr>
                <w:rFonts w:ascii="宋体" w:hAnsi="宋体" w:cs="Arial"/>
                <w:sz w:val="21"/>
                <w:szCs w:val="21"/>
              </w:rPr>
              <w:t>合规性评价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；</w:t>
            </w:r>
            <w:r>
              <w:rPr>
                <w:rFonts w:ascii="宋体" w:hAnsi="宋体" w:cs="Arial"/>
                <w:sz w:val="21"/>
                <w:szCs w:val="21"/>
              </w:rPr>
              <w:t>管理体系文件</w:t>
            </w:r>
            <w:r>
              <w:rPr>
                <w:rFonts w:hint="eastAsia" w:ascii="宋体" w:hAnsi="宋体" w:cs="Arial"/>
                <w:sz w:val="21"/>
                <w:szCs w:val="21"/>
              </w:rPr>
              <w:t>的策划情况；应对风险和机遇的措施；</w:t>
            </w:r>
            <w:r>
              <w:rPr>
                <w:rFonts w:ascii="宋体" w:hAnsi="宋体" w:cs="Arial"/>
                <w:sz w:val="21"/>
                <w:szCs w:val="21"/>
              </w:rPr>
              <w:t>环境因素识别、风险评价</w:t>
            </w:r>
            <w:r>
              <w:rPr>
                <w:rFonts w:hint="eastAsia" w:ascii="宋体" w:hAnsi="宋体" w:cs="Arial"/>
                <w:sz w:val="21"/>
                <w:szCs w:val="21"/>
              </w:rPr>
              <w:t>和控制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环境运行策划和控制，环境绩效监视和测量，</w:t>
            </w:r>
            <w:r>
              <w:rPr>
                <w:rFonts w:ascii="宋体" w:hAnsi="宋体" w:cs="Arial"/>
                <w:sz w:val="21"/>
                <w:szCs w:val="21"/>
              </w:rPr>
              <w:t>内部审核、管理评审的策划和实施情况</w:t>
            </w:r>
            <w:r>
              <w:rPr>
                <w:rFonts w:hint="eastAsia" w:ascii="宋体" w:hAnsi="宋体" w:cs="Arial"/>
                <w:sz w:val="21"/>
                <w:szCs w:val="21"/>
              </w:rPr>
              <w:t>；</w:t>
            </w:r>
            <w:r>
              <w:rPr>
                <w:rFonts w:ascii="宋体" w:hAnsi="宋体" w:cs="Arial"/>
                <w:sz w:val="21"/>
                <w:szCs w:val="21"/>
              </w:rPr>
              <w:t>顾客</w:t>
            </w:r>
            <w:r>
              <w:rPr>
                <w:rFonts w:hint="eastAsia" w:ascii="宋体" w:hAnsi="宋体" w:cs="Arial"/>
                <w:sz w:val="21"/>
                <w:szCs w:val="21"/>
              </w:rPr>
              <w:t>和相关方</w:t>
            </w:r>
            <w:r>
              <w:rPr>
                <w:rFonts w:ascii="宋体" w:hAnsi="宋体" w:cs="Arial"/>
                <w:sz w:val="21"/>
                <w:szCs w:val="21"/>
              </w:rPr>
              <w:t>投诉</w:t>
            </w:r>
            <w:r>
              <w:rPr>
                <w:rFonts w:hint="eastAsia" w:ascii="宋体" w:hAnsi="宋体" w:cs="Arial"/>
                <w:sz w:val="21"/>
                <w:szCs w:val="21"/>
              </w:rPr>
              <w:t>及处理情况；监督抽查和接受</w:t>
            </w:r>
            <w:r>
              <w:rPr>
                <w:rFonts w:ascii="宋体" w:hAnsi="宋体" w:cs="Arial"/>
                <w:sz w:val="21"/>
                <w:szCs w:val="21"/>
              </w:rPr>
              <w:t>行政处罚</w:t>
            </w:r>
            <w:r>
              <w:rPr>
                <w:rFonts w:hint="eastAsia" w:ascii="宋体" w:hAnsi="宋体" w:cs="Arial"/>
                <w:sz w:val="21"/>
                <w:szCs w:val="21"/>
              </w:rPr>
              <w:t>情况；</w:t>
            </w:r>
            <w:r>
              <w:rPr>
                <w:rFonts w:hint="eastAsia" w:ascii="宋体" w:hAnsi="宋体"/>
                <w:sz w:val="21"/>
                <w:szCs w:val="21"/>
              </w:rPr>
              <w:t>了解组织工作方式；</w:t>
            </w:r>
            <w:r>
              <w:rPr>
                <w:rFonts w:hint="eastAsia" w:ascii="宋体" w:hAnsi="宋体" w:cs="Arial"/>
                <w:sz w:val="21"/>
                <w:szCs w:val="21"/>
              </w:rPr>
              <w:t>确定二阶段审核时机和审核重点</w:t>
            </w:r>
          </w:p>
          <w:p>
            <w:pPr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Q4.1-6.3/7.1.1/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7.4/7.5.1/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8.2/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9.1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/9.2/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E4.1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-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6.1.1/6.1.3/6.1.4/6.2/7.1/7.4/7.5.1/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9.1.2/9.2/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9.3/10.1/10.3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维修部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主要内容：基础设施提供及控制情况；过程运行环境；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监视和测量资源提供和控制情况；</w:t>
            </w:r>
            <w:r>
              <w:rPr>
                <w:rFonts w:hint="eastAsia" w:ascii="宋体" w:hAnsi="宋体"/>
                <w:sz w:val="21"/>
                <w:szCs w:val="21"/>
              </w:rPr>
              <w:t>运行的</w:t>
            </w:r>
            <w:r>
              <w:rPr>
                <w:rFonts w:ascii="宋体" w:hAnsi="宋体"/>
                <w:sz w:val="21"/>
                <w:szCs w:val="21"/>
              </w:rPr>
              <w:t>策划</w:t>
            </w:r>
            <w:r>
              <w:rPr>
                <w:rFonts w:hint="eastAsia" w:ascii="宋体" w:hAnsi="宋体"/>
                <w:sz w:val="21"/>
                <w:szCs w:val="21"/>
              </w:rPr>
              <w:t>和控制</w:t>
            </w:r>
            <w:r>
              <w:rPr>
                <w:rFonts w:ascii="宋体" w:hAnsi="宋体"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sz w:val="21"/>
                <w:szCs w:val="21"/>
              </w:rPr>
              <w:t>；生产和服务提供的控制；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产品和服务的放行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环境因素识别</w:t>
            </w:r>
            <w:r>
              <w:rPr>
                <w:rFonts w:hint="eastAsia" w:ascii="宋体" w:hAnsi="宋体"/>
                <w:sz w:val="21"/>
                <w:szCs w:val="21"/>
              </w:rPr>
              <w:t>；环境运行策划和控制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Q： 7.1.3/7.1.4/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8.1/8.3/8.5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/8.6/8.7/10/2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E6.1.2/8.1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  <w:bookmarkStart w:id="14" w:name="_GoBack"/>
            <w:bookmarkEnd w:id="14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与公司管理层反馈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001CE"/>
    <w:rsid w:val="269F5513"/>
    <w:rsid w:val="31244B52"/>
    <w:rsid w:val="3B2A7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2020-06-14T05:30:30Z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