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河北欣悦辉金属制造有限公司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河北省沧州市孟村回族自治县新县镇南肖庄子工业区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刘建辉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13483820000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061400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lang w:val="zh-CN"/>
              </w:rPr>
              <w:t>刘建辉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0256-2020-Q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钢管脚手架扣件、井盖、井圈、雨水篦子的精密铸造和销售，钢管、法兰、管件的销售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17.12.05;29.11.04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2020年06月06日 下午至2020年06月07日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17.12.05,29.11.04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drawing>
                <wp:inline distT="0" distB="0" distL="114300" distR="114300">
                  <wp:extent cx="1033145" cy="556895"/>
                  <wp:effectExtent l="0" t="0" r="8255" b="190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15011335853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2020.6.5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2020.6.2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2020.6.5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pPr w:leftFromText="181" w:rightFromText="181" w:vertAnchor="text" w:horzAnchor="margin" w:tblpY="126"/>
        <w:tblW w:w="107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6"/>
        <w:gridCol w:w="1620"/>
        <w:gridCol w:w="6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9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活动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7" w:hRule="atLeast"/>
        </w:trPr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>
            <w:pPr>
              <w:ind w:firstLine="315" w:firstLineChars="1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>
            <w:pPr>
              <w:ind w:firstLine="315" w:firstLineChars="1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14:30-16:00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bookmarkStart w:id="17" w:name="_GoBack"/>
            <w:bookmarkEnd w:id="17"/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11:00-14:00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12:00-12：30午餐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90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ind w:firstLine="210" w:firstLineChars="10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</w:t>
            </w:r>
          </w:p>
          <w:p>
            <w:pPr>
              <w:ind w:firstLine="210" w:firstLineChars="10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A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各部门负责人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办公室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供销部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生产技术部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质检部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各部门负责人</w:t>
            </w:r>
          </w:p>
        </w:tc>
        <w:tc>
          <w:tcPr>
            <w:tcW w:w="62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 w:ascii="宋体" w:hAnsi="宋体"/>
                <w:sz w:val="21"/>
                <w:szCs w:val="21"/>
              </w:rPr>
              <w:t>首次会议（公司总经理、中层以上管理人员参加）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微信</w:t>
            </w:r>
            <w:r>
              <w:rPr>
                <w:rFonts w:ascii="宋体" w:hAnsi="宋体"/>
                <w:sz w:val="21"/>
                <w:szCs w:val="21"/>
              </w:rPr>
              <w:t>现场巡视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高管理者，体系主管部门负责人：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Q:4.1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4.4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5.1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6.1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6.3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7.1.1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7.4.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，9.1.1 </w:t>
            </w:r>
            <w:r>
              <w:rPr>
                <w:rFonts w:ascii="宋体" w:hAnsi="宋体"/>
                <w:sz w:val="21"/>
                <w:szCs w:val="21"/>
              </w:rPr>
              <w:t xml:space="preserve"> 9.3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10.1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10.3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部门职责和权限；目标实现情况；部门职责的落实，人员聘用，组织知识、培训，能力、意识的培养；企业知识管理的方法、措施及效果；沟通方式和内容，形成文件的信息；内部审核实施及有效性； 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Q:5.3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6.2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7.1.2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7.1.6  7</w:t>
            </w:r>
            <w:r>
              <w:rPr>
                <w:rFonts w:ascii="宋体" w:hAnsi="宋体"/>
                <w:sz w:val="21"/>
                <w:szCs w:val="21"/>
              </w:rPr>
              <w:t>.2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7.5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， </w:t>
            </w:r>
            <w:r>
              <w:rPr>
                <w:rFonts w:ascii="宋体" w:hAnsi="宋体"/>
                <w:sz w:val="21"/>
                <w:szCs w:val="21"/>
              </w:rPr>
              <w:t>9.2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职责和权限；分解到本部门目标实现情况；基础设施配置与管理；过程运行环境管理；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生产和服务提供、标识和可追溯性管理；交付后的活动更改控制、设计开发 </w:t>
            </w:r>
            <w:r>
              <w:rPr>
                <w:rFonts w:hint="eastAsia" w:ascii="宋体" w:hAnsi="宋体" w:cs="宋体"/>
                <w:sz w:val="21"/>
                <w:szCs w:val="21"/>
              </w:rPr>
              <w:t>供应的产品和服务的控制 总则；</w:t>
            </w:r>
            <w:r>
              <w:rPr>
                <w:rFonts w:hint="eastAsia" w:ascii="宋体" w:hAnsi="宋体"/>
                <w:sz w:val="21"/>
                <w:szCs w:val="21"/>
              </w:rPr>
              <w:t>监视和测量设备；产品和服务的放行；不合格输出的控制、纠正措施；</w:t>
            </w:r>
            <w:r>
              <w:rPr>
                <w:rFonts w:hint="eastAsia" w:ascii="宋体" w:hAnsi="宋体" w:cs="宋体"/>
                <w:sz w:val="21"/>
                <w:szCs w:val="21"/>
              </w:rPr>
              <w:t>与产品和服务有关要求的确定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</w:rPr>
              <w:t>顾客满意、外部供应的控制类型和程度；外部供方的信息</w:t>
            </w:r>
          </w:p>
          <w:p>
            <w:pPr>
              <w:rPr>
                <w:rFonts w:hint="eastAsia" w:ascii="宋体" w:hAnsi="宋体" w:cs="Tahoma"/>
                <w:sz w:val="21"/>
                <w:szCs w:val="21"/>
              </w:rPr>
            </w:pPr>
            <w:r>
              <w:rPr>
                <w:rFonts w:ascii="宋体" w:hAnsi="宋体" w:cs="Tahoma"/>
                <w:sz w:val="21"/>
                <w:szCs w:val="21"/>
              </w:rPr>
              <w:t>Q:5.3</w:t>
            </w:r>
            <w:r>
              <w:rPr>
                <w:rFonts w:hint="eastAsia" w:ascii="宋体" w:hAnsi="宋体" w:cs="Tahoma"/>
                <w:sz w:val="21"/>
                <w:szCs w:val="21"/>
              </w:rPr>
              <w:t>，</w:t>
            </w:r>
            <w:r>
              <w:rPr>
                <w:rFonts w:ascii="宋体" w:hAnsi="宋体" w:cs="Tahoma"/>
                <w:sz w:val="21"/>
                <w:szCs w:val="21"/>
              </w:rPr>
              <w:t>6.2</w:t>
            </w:r>
            <w:r>
              <w:rPr>
                <w:rFonts w:hint="eastAsia" w:ascii="宋体" w:hAnsi="宋体" w:cs="Tahoma"/>
                <w:sz w:val="21"/>
                <w:szCs w:val="21"/>
              </w:rPr>
              <w:t>，</w:t>
            </w:r>
            <w:r>
              <w:rPr>
                <w:rFonts w:hint="eastAsia" w:ascii="宋体" w:hAnsi="宋体" w:cs="Tahoma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宋体" w:hAnsi="宋体" w:cs="Tahoma"/>
                <w:sz w:val="21"/>
                <w:szCs w:val="21"/>
              </w:rPr>
              <w:t>7.1.3</w:t>
            </w:r>
            <w:r>
              <w:rPr>
                <w:rFonts w:hint="eastAsia" w:ascii="宋体" w:hAnsi="宋体" w:cs="Tahoma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7.1.5  </w:t>
            </w:r>
            <w:r>
              <w:rPr>
                <w:rFonts w:hint="eastAsia" w:ascii="宋体" w:hAnsi="宋体" w:cs="Tahoma"/>
                <w:sz w:val="21"/>
                <w:szCs w:val="21"/>
              </w:rPr>
              <w:t>8.1 8.2 8.3 8.4 8.5-</w:t>
            </w:r>
            <w:r>
              <w:rPr>
                <w:rFonts w:ascii="宋体" w:hAnsi="宋体" w:cs="Tahoma"/>
                <w:sz w:val="21"/>
                <w:szCs w:val="21"/>
              </w:rPr>
              <w:t>8.7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9.1.2  </w:t>
            </w:r>
            <w:r>
              <w:rPr>
                <w:rFonts w:hint="eastAsia" w:ascii="宋体" w:hAnsi="宋体" w:cs="Tahoma"/>
                <w:sz w:val="21"/>
                <w:szCs w:val="21"/>
              </w:rPr>
              <w:t>10.2</w:t>
            </w:r>
          </w:p>
          <w:p>
            <w:pPr>
              <w:rPr>
                <w:rFonts w:hint="eastAsia" w:ascii="宋体" w:hAnsi="宋体" w:cs="Tahoma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职责和权限；分解到本部门目标实现情况；基础设施配置与管理；过程运行环境管理；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生产和服务提供、标识和可追溯性管理；交付后的活动更改控制、设计开发 </w:t>
            </w:r>
            <w:r>
              <w:rPr>
                <w:rFonts w:hint="eastAsia" w:ascii="宋体" w:hAnsi="宋体" w:cs="宋体"/>
                <w:sz w:val="21"/>
                <w:szCs w:val="21"/>
              </w:rPr>
              <w:t>供应的产品和服务的控制 总则；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cs="Tahoma"/>
                <w:sz w:val="21"/>
                <w:szCs w:val="21"/>
              </w:rPr>
            </w:pPr>
            <w:r>
              <w:rPr>
                <w:rFonts w:ascii="宋体" w:hAnsi="宋体" w:cs="Tahoma"/>
                <w:sz w:val="21"/>
                <w:szCs w:val="21"/>
              </w:rPr>
              <w:t>Q:5.3</w:t>
            </w:r>
            <w:r>
              <w:rPr>
                <w:rFonts w:hint="eastAsia" w:ascii="宋体" w:hAnsi="宋体" w:cs="Tahoma"/>
                <w:sz w:val="21"/>
                <w:szCs w:val="21"/>
              </w:rPr>
              <w:t>，</w:t>
            </w:r>
            <w:r>
              <w:rPr>
                <w:rFonts w:ascii="宋体" w:hAnsi="宋体" w:cs="Tahoma"/>
                <w:sz w:val="21"/>
                <w:szCs w:val="21"/>
              </w:rPr>
              <w:t>6.2</w:t>
            </w:r>
            <w:r>
              <w:rPr>
                <w:rFonts w:hint="eastAsia" w:ascii="宋体" w:hAnsi="宋体" w:cs="Tahoma"/>
                <w:sz w:val="21"/>
                <w:szCs w:val="21"/>
              </w:rPr>
              <w:t>，</w:t>
            </w:r>
            <w:r>
              <w:rPr>
                <w:rFonts w:hint="eastAsia" w:ascii="宋体" w:hAnsi="宋体" w:cs="Tahoma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宋体" w:hAnsi="宋体" w:cs="Tahoma"/>
                <w:sz w:val="21"/>
                <w:szCs w:val="21"/>
              </w:rPr>
              <w:t>7.1.3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7.1.4  </w:t>
            </w:r>
            <w:r>
              <w:rPr>
                <w:rFonts w:hint="eastAsia" w:ascii="宋体" w:hAnsi="宋体" w:cs="Tahoma"/>
                <w:sz w:val="21"/>
                <w:szCs w:val="21"/>
              </w:rPr>
              <w:t>8.1  8.3  8.5</w:t>
            </w:r>
          </w:p>
          <w:p>
            <w:pPr>
              <w:rPr>
                <w:rFonts w:hint="eastAsia" w:ascii="宋体" w:hAnsi="宋体" w:cs="Tahoma"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部门职责和权限；目标实现情况；监视和测量设备；产品和服务的放行；不合格输出的控制、纠正措施、分析与评价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Q:5.3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6.2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7.1.5  8.6 8.7  </w:t>
            </w:r>
            <w:r>
              <w:rPr>
                <w:rFonts w:hint="eastAsia" w:ascii="宋体" w:hAnsi="宋体"/>
                <w:sz w:val="21"/>
                <w:szCs w:val="21"/>
              </w:rPr>
              <w:t>9.1.3 10.2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与受审核方沟通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末次会议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pStyle w:val="9"/>
        <w:numPr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587B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acer</cp:lastModifiedBy>
  <dcterms:modified xsi:type="dcterms:W3CDTF">2020-06-07T22:07:58Z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