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30517-2023-QEO-2024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河北沃尔特金属制品有限公司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r>
              <w:rPr>
                <w:b/>
                <w:szCs w:val="21"/>
              </w:rPr>
              <w:t>Q:17.12.04</w:t>
            </w:r>
          </w:p>
          <w:p w:rsidR="00F9189D">
            <w:pPr>
              <w:spacing w:line="360" w:lineRule="auto"/>
              <w:jc w:val="center"/>
              <w:rPr>
                <w:b/>
                <w:szCs w:val="21"/>
              </w:rPr>
            </w:pPr>
            <w:r>
              <w:rPr>
                <w:b/>
                <w:szCs w:val="21"/>
              </w:rPr>
              <w:t>E:17.12.04</w:t>
            </w:r>
          </w:p>
          <w:p w:rsidR="00F9189D">
            <w:pPr>
              <w:spacing w:line="360" w:lineRule="auto"/>
              <w:jc w:val="center"/>
              <w:rPr>
                <w:b/>
                <w:szCs w:val="21"/>
              </w:rPr>
            </w:pPr>
            <w:r>
              <w:rPr>
                <w:b/>
                <w:szCs w:val="21"/>
              </w:rPr>
              <w:t>O:17.12.04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2024年08月16日 上午至2024年08月17日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河北省邯郸市永年区讲武镇东赵王固村村东</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邯郸市新世纪阳光大厦23楼2303</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