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江西亚东实业有限公司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</w:rPr>
              <w:t>未提供2020年一季度质量/环境/职业健康目标达成记录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6.2.2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1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14001:2015标准6.2.2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1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6.2.2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3093085</wp:posOffset>
                  </wp:positionH>
                  <wp:positionV relativeFrom="paragraph">
                    <wp:posOffset>105410</wp:posOffset>
                  </wp:positionV>
                  <wp:extent cx="946785" cy="549275"/>
                  <wp:effectExtent l="0" t="0" r="5715" b="9525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67310</wp:posOffset>
                  </wp:positionV>
                  <wp:extent cx="946785" cy="549275"/>
                  <wp:effectExtent l="0" t="0" r="5715" b="9525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90805</wp:posOffset>
                  </wp:positionV>
                  <wp:extent cx="876300" cy="466725"/>
                  <wp:effectExtent l="0" t="0" r="0" b="3175"/>
                  <wp:wrapNone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4013835</wp:posOffset>
                  </wp:positionH>
                  <wp:positionV relativeFrom="paragraph">
                    <wp:posOffset>363220</wp:posOffset>
                  </wp:positionV>
                  <wp:extent cx="946785" cy="549275"/>
                  <wp:effectExtent l="0" t="0" r="5715" b="9525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348615</wp:posOffset>
                  </wp:positionV>
                  <wp:extent cx="876300" cy="466725"/>
                  <wp:effectExtent l="0" t="0" r="0" b="3175"/>
                  <wp:wrapNone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2020.6.10</w:t>
            </w: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未提供2020年一季度质量/环境/职业健康目标达成记录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立即安排相关负责人补充相关记录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由于相关人员对6.2.2 标准条款学习不够、理解不深，对其重要性认识不到位，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未能及时做相关记录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立即安排相关负责人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补充相关记录，并组织相关人员对条款6.2.2进行培训，培训合格有效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07" w:firstLineChars="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查公司其他方面的记录是否有类似的情况发生</w:t>
            </w:r>
          </w:p>
          <w:p>
            <w:pPr>
              <w:ind w:firstLine="407" w:firstLineChars="0"/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2020.6.5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2020.6.5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spacing w:line="560" w:lineRule="exact"/>
        <w:jc w:val="center"/>
        <w:rPr>
          <w:rFonts w:hint="eastAsia" w:eastAsia="宋体"/>
          <w:b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江西亚东实业有限公司 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</w:t>
      </w:r>
      <w:r>
        <w:rPr>
          <w:rFonts w:hint="eastAsia"/>
          <w:b/>
          <w:sz w:val="28"/>
          <w:lang w:val="en-US" w:eastAsia="zh-CN"/>
        </w:rPr>
        <w:t xml:space="preserve">            </w:t>
      </w:r>
      <w:r>
        <w:rPr>
          <w:b/>
          <w:sz w:val="28"/>
        </w:rPr>
        <w:t>培训记录</w:t>
      </w:r>
      <w:r>
        <w:rPr>
          <w:rFonts w:hint="eastAsia"/>
          <w:b/>
          <w:sz w:val="28"/>
          <w:lang w:val="en-US" w:eastAsia="zh-CN"/>
        </w:rPr>
        <w:t xml:space="preserve">           </w:t>
      </w:r>
      <w:r>
        <w:rPr>
          <w:rFonts w:hint="eastAsia"/>
          <w:sz w:val="24"/>
          <w:lang w:eastAsia="zh-CN"/>
        </w:rPr>
        <w:t>YDSY -QEO/EOP-13/02</w:t>
      </w:r>
      <w:r>
        <w:rPr>
          <w:rFonts w:hint="eastAsia"/>
          <w:b/>
          <w:sz w:val="28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ISO 9001:2015标准  6.2.2  条款 </w:t>
            </w:r>
            <w:r>
              <w:rPr>
                <w:rFonts w:hint="eastAsia"/>
                <w:lang w:eastAsia="zh-CN"/>
              </w:rPr>
              <w:t>、ISO 14001:2015标准6.2.2   条款、</w:t>
            </w:r>
          </w:p>
          <w:p>
            <w:pPr>
              <w:tabs>
                <w:tab w:val="left" w:pos="422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ISO45001：2018标准 6.2.2  条款的培训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2019.6.4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</w:t>
            </w:r>
            <w:r>
              <w:rPr>
                <w:rFonts w:hint="eastAsia"/>
                <w:lang w:eastAsia="zh-CN"/>
              </w:rPr>
              <w:t>、安全</w:t>
            </w:r>
            <w:r>
              <w:rPr>
                <w:rFonts w:hint="eastAsia"/>
              </w:rPr>
              <w:t>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胡琴琴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刘巧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夏帮荣 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评价人：李老师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胡琴琴</w:t>
            </w:r>
          </w:p>
        </w:tc>
      </w:tr>
    </w:tbl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spacing w:after="120" w:line="32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江西亚东实业有限公司</w:t>
      </w:r>
    </w:p>
    <w:p>
      <w:pPr>
        <w:spacing w:line="320" w:lineRule="exact"/>
        <w:ind w:right="420"/>
        <w:rPr>
          <w:rFonts w:hint="eastAsia"/>
        </w:rPr>
      </w:pPr>
      <w:r>
        <w:rPr>
          <w:b/>
          <w:sz w:val="28"/>
        </w:rPr>
        <w:t xml:space="preserve">                            </w:t>
      </w:r>
      <w:r>
        <w:rPr>
          <w:rFonts w:hint="eastAsia"/>
          <w:b/>
          <w:sz w:val="28"/>
        </w:rPr>
        <w:t>目标考核</w:t>
      </w:r>
      <w:r>
        <w:rPr>
          <w:rFonts w:hint="eastAsia"/>
          <w:b/>
          <w:sz w:val="28"/>
          <w:lang w:eastAsia="zh-CN"/>
        </w:rPr>
        <w:t>总</w:t>
      </w:r>
      <w:r>
        <w:rPr>
          <w:rFonts w:hint="eastAsia"/>
          <w:b/>
          <w:sz w:val="28"/>
        </w:rPr>
        <w:t>表</w:t>
      </w:r>
    </w:p>
    <w:tbl>
      <w:tblPr>
        <w:tblStyle w:val="5"/>
        <w:tblW w:w="1013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85"/>
        <w:gridCol w:w="333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公司总目标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考核方式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3503" w:type="dxa"/>
            <w:gridSpan w:val="2"/>
            <w:noWrap w:val="0"/>
            <w:vAlign w:val="center"/>
          </w:tcPr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1、交货及时率≥92%；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2、顾客满意度92分以上；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3、固体废弃物分类处理100%；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4、交通意外伤害为0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5、火灾事故发生率为0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1、交货及时率=当季交货及时数÷交货总次数×100%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2、顾客满意度=调查单位中满意总分数÷调查单位数；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3、由每季度考核结果统计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4、由每季度考核结果统计</w:t>
            </w:r>
          </w:p>
          <w:p>
            <w:pPr>
              <w:ind w:right="420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5、由每季度考核结果统计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1、交货及时率为95%；（7÷7）×100%=100%</w:t>
            </w:r>
          </w:p>
          <w:p>
            <w:pPr>
              <w:spacing w:line="400" w:lineRule="exac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2、顾客满意度为97分；（174+117）÷3=97分3、固体废弃物分类处理100%；</w:t>
            </w:r>
          </w:p>
          <w:p>
            <w:pPr>
              <w:spacing w:line="400" w:lineRule="exac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4、交通意外伤害为0</w:t>
            </w:r>
          </w:p>
          <w:p>
            <w:pPr>
              <w:spacing w:line="400" w:lineRule="exact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5、火灾事故发生率为0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部 门 目 标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考核方式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18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办公室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培训合格率达95%以上。</w:t>
            </w:r>
          </w:p>
          <w:p>
            <w:pPr>
              <w:numPr>
                <w:ilvl w:val="0"/>
                <w:numId w:val="1"/>
              </w:numPr>
              <w:ind w:left="0" w:leftChars="0" w:right="420" w:rightChars="0"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固体废弃物分类处理100%</w:t>
            </w:r>
          </w:p>
          <w:p>
            <w:pPr>
              <w:numPr>
                <w:ilvl w:val="0"/>
                <w:numId w:val="1"/>
              </w:numPr>
              <w:ind w:left="0" w:leftChars="0" w:right="420" w:rightChars="0"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火灾事故发生率为0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1、培训合格率=培训计划合格数÷培训计划完成总数×100%</w:t>
            </w:r>
          </w:p>
          <w:p>
            <w:pPr>
              <w:jc w:val="lef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2、经数据统计</w:t>
            </w:r>
          </w:p>
          <w:p>
            <w:pPr>
              <w:jc w:val="left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3、由每季度考核结果统计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 xml:space="preserve">1、培训合格率达100%。《（4÷4）×100%》=100% </w:t>
            </w:r>
          </w:p>
          <w:p>
            <w:pP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2、固体废弃物分类处理100%</w:t>
            </w:r>
          </w:p>
          <w:p>
            <w:pPr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3、火灾事故发生率为0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418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业务部</w:t>
            </w:r>
          </w:p>
          <w:p>
            <w:pPr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1.有效合同履约率100%；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2.顾客满意度92分以上；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3.交通意外伤害为0；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4.火灾事故发生率为0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5.交货及时率≥92%</w:t>
            </w:r>
          </w:p>
          <w:p>
            <w:pPr>
              <w:numPr>
                <w:ilvl w:val="0"/>
                <w:numId w:val="0"/>
              </w:numPr>
              <w:ind w:leftChars="0" w:right="420" w:right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6.固体废弃物分类处理100%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1.有效合同履约率=合同履行数 ÷ 合同总数× 100%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2.顾客满意率=调查单位中满意总分数÷调查单位数；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3.经数据统计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4.经数据统计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5.交货及时率=当季交货及时数÷交货总次数×100%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6.经数据统计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 xml:space="preserve">1.有效合同履约率100%；（10/10×100%=100%） </w:t>
            </w:r>
          </w:p>
          <w:p>
            <w:pPr>
              <w:spacing w:line="400" w:lineRule="exac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2.顾客满意度</w:t>
            </w:r>
            <w:r>
              <w:rPr>
                <w:rFonts w:hint="eastAsia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为97分</w:t>
            </w: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；（174+117）÷3=97分</w:t>
            </w:r>
          </w:p>
          <w:p>
            <w:p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3.交通意外伤害为0；</w:t>
            </w:r>
          </w:p>
          <w:p>
            <w:p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4.火灾事故发生率为0</w:t>
            </w:r>
          </w:p>
          <w:p>
            <w:p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5.交货及时率100%（7/7×100%=100%）</w:t>
            </w:r>
          </w:p>
          <w:p>
            <w:pPr>
              <w:ind w:right="-82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6. 固体废弃物分类处理100%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18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采购部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00" w:lineRule="auto"/>
              <w:ind w:firstLine="0" w:firstLine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建立合格供方，确保采购产品100%合格。</w:t>
            </w:r>
          </w:p>
          <w:p>
            <w:pPr>
              <w:numPr>
                <w:ilvl w:val="0"/>
                <w:numId w:val="0"/>
              </w:numPr>
              <w:ind w:leftChars="0" w:right="420" w:rightChars="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2.固体废弃物分类处理100%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auto"/>
              <w:rPr>
                <w:rFonts w:hint="default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3.交通意外伤害为0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1、采购产品合格率=产品采购合格数÷产品采购数× 100%</w:t>
            </w:r>
          </w:p>
          <w:p>
            <w:pPr>
              <w:jc w:val="lef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2、经数据统计</w:t>
            </w: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3、经数据统计</w:t>
            </w:r>
          </w:p>
          <w:p>
            <w:pPr>
              <w:jc w:val="left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right="42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采购产品100%合格；采购产品100%合格；《（9÷9）×100%》=100%</w:t>
            </w:r>
          </w:p>
          <w:p>
            <w:pPr>
              <w:numPr>
                <w:ilvl w:val="0"/>
                <w:numId w:val="3"/>
              </w:num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固体废弃物分类处理100%</w:t>
            </w:r>
          </w:p>
          <w:p>
            <w:pPr>
              <w:numPr>
                <w:ilvl w:val="0"/>
                <w:numId w:val="3"/>
              </w:numPr>
              <w:ind w:right="-82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交通意外伤害为0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3" w:type="dxa"/>
            <w:gridSpan w:val="4"/>
            <w:noWrap w:val="0"/>
            <w:vAlign w:val="top"/>
          </w:tcPr>
          <w:p>
            <w:pP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考核小组人员：</w:t>
            </w:r>
          </w:p>
          <w:p>
            <w:pPr>
              <w:spacing w:line="360" w:lineRule="auto"/>
              <w:ind w:left="210" w:leftChars="100" w:firstLine="882" w:firstLineChars="490"/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  <w:lang w:val="en-US" w:eastAsia="zh-CN" w:bidi="ar-SA"/>
              </w:rPr>
              <w:t>胡琴琴、胡朋、刘巧、夏帮荣                           考核时间： 2020年6月5日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AutoShape 1026" o:spid="_x0000_s3074" o:spt="32" type="#_x0000_t32" style="position:absolute;left:0pt;margin-left:-0.05pt;margin-top:10.65pt;height:0pt;width:489.8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BD2FC"/>
    <w:multiLevelType w:val="singleLevel"/>
    <w:tmpl w:val="8FCBD2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14B68E"/>
    <w:multiLevelType w:val="singleLevel"/>
    <w:tmpl w:val="0414B6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7839F8"/>
    <w:multiLevelType w:val="singleLevel"/>
    <w:tmpl w:val="08783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AutoShape 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7AF"/>
    <w:rsid w:val="003174EC"/>
    <w:rsid w:val="003E363A"/>
    <w:rsid w:val="004617AF"/>
    <w:rsid w:val="0054684E"/>
    <w:rsid w:val="00633086"/>
    <w:rsid w:val="00877AB7"/>
    <w:rsid w:val="00A173A1"/>
    <w:rsid w:val="00A453C8"/>
    <w:rsid w:val="00B10268"/>
    <w:rsid w:val="00CF029D"/>
    <w:rsid w:val="00FC6229"/>
    <w:rsid w:val="09D120AD"/>
    <w:rsid w:val="265D1C60"/>
    <w:rsid w:val="74514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25" w:firstLineChars="210"/>
    </w:pPr>
    <w:rPr>
      <w:spacing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2019-12-31T02:45:00Z</dcterms:created>
  <dc:creator>微软用户</dc:creator>
  <cp:lastModifiedBy>Lenovo</cp:lastModifiedBy>
  <cp:lastPrinted>2019-05-13T03:02:00Z</cp:lastPrinted>
  <dcterms:modified xsi:type="dcterms:W3CDTF">2020-06-12T04:10:59Z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