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eastAsiaTheme="minorEastAsia"/>
                <w:sz w:val="24"/>
                <w:szCs w:val="24"/>
              </w:rPr>
            </w:pPr>
            <w:r>
              <w:rPr>
                <w:rFonts w:hAnsiTheme="minorEastAsia" w:eastAsiaTheme="minorEastAsia"/>
                <w:sz w:val="24"/>
                <w:szCs w:val="24"/>
              </w:rPr>
              <w:t>过程与活动、</w:t>
            </w:r>
          </w:p>
          <w:p>
            <w:pPr>
              <w:spacing w:line="360" w:lineRule="auto"/>
              <w:jc w:val="center"/>
              <w:rPr>
                <w:rFonts w:eastAsiaTheme="minorEastAsia"/>
                <w:sz w:val="24"/>
                <w:szCs w:val="24"/>
              </w:rPr>
            </w:pPr>
            <w:r>
              <w:rPr>
                <w:rFonts w:hAnsiTheme="minorEastAsia" w:eastAsiaTheme="minorEastAsia"/>
                <w:sz w:val="24"/>
                <w:szCs w:val="24"/>
              </w:rPr>
              <w:t>抽样计划</w:t>
            </w:r>
          </w:p>
        </w:tc>
        <w:tc>
          <w:tcPr>
            <w:tcW w:w="1311" w:type="dxa"/>
            <w:vMerge w:val="restart"/>
            <w:vAlign w:val="center"/>
          </w:tcPr>
          <w:p>
            <w:pPr>
              <w:spacing w:line="360" w:lineRule="auto"/>
              <w:rPr>
                <w:rFonts w:eastAsiaTheme="minorEastAsia"/>
                <w:sz w:val="24"/>
                <w:szCs w:val="24"/>
              </w:rPr>
            </w:pPr>
            <w:r>
              <w:rPr>
                <w:rFonts w:hAnsiTheme="minorEastAsia" w:eastAsiaTheme="minorEastAsia"/>
                <w:sz w:val="24"/>
                <w:szCs w:val="24"/>
              </w:rPr>
              <w:t>涉及条款</w:t>
            </w:r>
          </w:p>
        </w:tc>
        <w:tc>
          <w:tcPr>
            <w:tcW w:w="10004" w:type="dxa"/>
            <w:vAlign w:val="center"/>
          </w:tcPr>
          <w:p>
            <w:pPr>
              <w:spacing w:line="360" w:lineRule="auto"/>
              <w:rPr>
                <w:rFonts w:eastAsiaTheme="minorEastAsia"/>
                <w:sz w:val="24"/>
                <w:szCs w:val="24"/>
              </w:rPr>
            </w:pPr>
            <w:r>
              <w:rPr>
                <w:rFonts w:hAnsiTheme="minorEastAsia" w:eastAsiaTheme="minorEastAsia"/>
                <w:sz w:val="24"/>
                <w:szCs w:val="24"/>
              </w:rPr>
              <w:t>受审核部门：管理层</w:t>
            </w:r>
            <w:r>
              <w:rPr>
                <w:rFonts w:eastAsiaTheme="minorEastAsia"/>
                <w:sz w:val="24"/>
                <w:szCs w:val="24"/>
              </w:rPr>
              <w:t xml:space="preserve">  </w:t>
            </w:r>
            <w:r>
              <w:rPr>
                <w:rFonts w:hAnsiTheme="minorEastAsia" w:eastAsiaTheme="minorEastAsia"/>
                <w:sz w:val="24"/>
                <w:szCs w:val="24"/>
              </w:rPr>
              <w:t>主管领导：彭桂福、宋国嵩</w:t>
            </w:r>
            <w:r>
              <w:rPr>
                <w:rFonts w:hint="eastAsia" w:hAnsiTheme="minorEastAsia" w:eastAsiaTheme="minorEastAsia"/>
                <w:sz w:val="24"/>
                <w:szCs w:val="24"/>
              </w:rPr>
              <w:t xml:space="preserve">   </w:t>
            </w:r>
            <w:r>
              <w:rPr>
                <w:rFonts w:hAnsiTheme="minorEastAsia" w:eastAsiaTheme="minorEastAsia"/>
                <w:sz w:val="24"/>
                <w:szCs w:val="24"/>
              </w:rPr>
              <w:t>陪同人员：</w:t>
            </w:r>
            <w:r>
              <w:rPr>
                <w:rFonts w:hint="eastAsia" w:hAnsiTheme="minorEastAsia" w:eastAsiaTheme="minorEastAsia"/>
                <w:sz w:val="24"/>
                <w:szCs w:val="24"/>
              </w:rPr>
              <w:t>李强</w:t>
            </w:r>
            <w:r>
              <w:rPr>
                <w:rFonts w:eastAsiaTheme="minorEastAsia"/>
                <w:sz w:val="24"/>
                <w:szCs w:val="24"/>
              </w:rPr>
              <w:t xml:space="preserve"> </w:t>
            </w:r>
          </w:p>
        </w:tc>
        <w:tc>
          <w:tcPr>
            <w:tcW w:w="1585" w:type="dxa"/>
            <w:vMerge w:val="restart"/>
            <w:vAlign w:val="center"/>
          </w:tcPr>
          <w:p>
            <w:pPr>
              <w:spacing w:line="360" w:lineRule="auto"/>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before="120" w:line="360" w:lineRule="auto"/>
              <w:rPr>
                <w:rFonts w:eastAsiaTheme="minorEastAsia"/>
                <w:sz w:val="24"/>
                <w:szCs w:val="24"/>
              </w:rPr>
            </w:pPr>
            <w:r>
              <w:rPr>
                <w:rFonts w:hAnsiTheme="minorEastAsia" w:eastAsiaTheme="minorEastAsia"/>
                <w:sz w:val="24"/>
                <w:szCs w:val="24"/>
              </w:rPr>
              <w:t>审核员：伍光华、文波</w:t>
            </w:r>
            <w:r>
              <w:rPr>
                <w:rFonts w:hint="eastAsia" w:hAnsiTheme="minorEastAsia" w:eastAsiaTheme="minorEastAsia"/>
                <w:sz w:val="24"/>
                <w:szCs w:val="24"/>
              </w:rPr>
              <w:t xml:space="preserve">  </w:t>
            </w:r>
            <w:r>
              <w:rPr>
                <w:rFonts w:hAnsiTheme="minorEastAsia" w:eastAsiaTheme="minorEastAsia"/>
                <w:sz w:val="24"/>
                <w:szCs w:val="24"/>
              </w:rPr>
              <w:t>审核时间：</w:t>
            </w:r>
            <w:r>
              <w:rPr>
                <w:rFonts w:eastAsiaTheme="minorEastAsia"/>
                <w:sz w:val="24"/>
                <w:szCs w:val="24"/>
              </w:rPr>
              <w:t>2020.</w:t>
            </w:r>
            <w:r>
              <w:rPr>
                <w:rFonts w:hint="eastAsia" w:eastAsiaTheme="minorEastAsia"/>
                <w:sz w:val="24"/>
                <w:szCs w:val="24"/>
              </w:rPr>
              <w:t>6</w:t>
            </w:r>
            <w:r>
              <w:rPr>
                <w:rFonts w:eastAsiaTheme="minorEastAsia"/>
                <w:sz w:val="24"/>
                <w:szCs w:val="24"/>
              </w:rPr>
              <w:t>.</w:t>
            </w:r>
            <w:r>
              <w:rPr>
                <w:rFonts w:hint="eastAsia" w:eastAsiaTheme="minorEastAsia"/>
                <w:sz w:val="24"/>
                <w:szCs w:val="24"/>
              </w:rPr>
              <w:t>1</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line="360" w:lineRule="auto"/>
              <w:rPr>
                <w:rFonts w:hAnsiTheme="minorEastAsia" w:eastAsiaTheme="minorEastAsia"/>
                <w:sz w:val="24"/>
                <w:szCs w:val="24"/>
              </w:rPr>
            </w:pPr>
            <w:r>
              <w:rPr>
                <w:rFonts w:hAnsiTheme="minorEastAsia" w:eastAsiaTheme="minorEastAsia"/>
                <w:sz w:val="24"/>
                <w:szCs w:val="24"/>
              </w:rPr>
              <w:t>审核条款</w:t>
            </w:r>
          </w:p>
          <w:p>
            <w:pPr>
              <w:spacing w:line="360" w:lineRule="auto"/>
              <w:rPr>
                <w:rFonts w:hAnsiTheme="minorEastAsia" w:eastAsiaTheme="minorEastAsia"/>
                <w:sz w:val="24"/>
                <w:szCs w:val="24"/>
              </w:rPr>
            </w:pPr>
            <w:r>
              <w:rPr>
                <w:rFonts w:hint="eastAsia" w:hAnsiTheme="minorEastAsia" w:eastAsiaTheme="minorEastAsia"/>
                <w:sz w:val="24"/>
                <w:szCs w:val="24"/>
              </w:rPr>
              <w:t>OHSMS:4.1理解组织及其环境、4.2理解相关方的需求和期望、4.3 确定管理体系的范围、4.4职业健康安全管理体系及其过程、5.1领导作用和承诺、5.2职业健康安全方针、5.3组织的岗位、职责和权限、5.4协商与参与、6.1应对风险和机遇的措施、6.2职业健康安全目标及其实现的策划、7.1资源总则、7.4沟通/信息交流、9.3管理评审、10.1改进、10.3持续改进，国家/地方监督抽查情况；顾客满意、相关方投诉及处理情况；一阶段问题验证，验证企业相关资质证明的有效性；</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企业基本信息</w:t>
            </w:r>
          </w:p>
        </w:tc>
        <w:tc>
          <w:tcPr>
            <w:tcW w:w="1311" w:type="dxa"/>
            <w:vAlign w:val="center"/>
          </w:tcPr>
          <w:p>
            <w:pPr>
              <w:spacing w:line="360" w:lineRule="auto"/>
              <w:rPr>
                <w:rFonts w:eastAsiaTheme="minorEastAsia"/>
                <w:b/>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面谈人员：最管理者：</w:t>
            </w:r>
            <w:r>
              <w:rPr>
                <w:rFonts w:hint="eastAsia" w:hAnsiTheme="minorEastAsia" w:eastAsiaTheme="minorEastAsia"/>
                <w:sz w:val="24"/>
                <w:szCs w:val="24"/>
              </w:rPr>
              <w:t>彭桂福</w:t>
            </w:r>
            <w:r>
              <w:rPr>
                <w:rFonts w:hAnsiTheme="minorEastAsia" w:eastAsiaTheme="minorEastAsia"/>
                <w:sz w:val="24"/>
                <w:szCs w:val="24"/>
              </w:rPr>
              <w:t>，管代</w:t>
            </w:r>
            <w:r>
              <w:rPr>
                <w:rFonts w:hint="eastAsia" w:hAnsiTheme="minorEastAsia" w:eastAsiaTheme="minorEastAsia"/>
                <w:sz w:val="24"/>
                <w:szCs w:val="24"/>
              </w:rPr>
              <w:t>宋国嵩</w:t>
            </w:r>
            <w:r>
              <w:rPr>
                <w:rFonts w:hAnsiTheme="minorEastAsia" w:eastAsiaTheme="minorEastAsia"/>
                <w:sz w:val="24"/>
                <w:szCs w:val="24"/>
              </w:rPr>
              <w:t>，</w:t>
            </w:r>
          </w:p>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公司成立于</w:t>
            </w:r>
            <w:r>
              <w:rPr>
                <w:rFonts w:eastAsiaTheme="minorEastAsia"/>
                <w:sz w:val="24"/>
                <w:szCs w:val="24"/>
              </w:rPr>
              <w:t>20</w:t>
            </w:r>
            <w:r>
              <w:rPr>
                <w:rFonts w:hint="eastAsia" w:eastAsiaTheme="minorEastAsia"/>
                <w:sz w:val="24"/>
                <w:szCs w:val="24"/>
              </w:rPr>
              <w:t>20</w:t>
            </w:r>
            <w:r>
              <w:rPr>
                <w:rFonts w:hAnsiTheme="minorEastAsia" w:eastAsiaTheme="minorEastAsia"/>
                <w:sz w:val="24"/>
                <w:szCs w:val="24"/>
              </w:rPr>
              <w:t>年</w:t>
            </w:r>
            <w:r>
              <w:rPr>
                <w:rFonts w:hint="eastAsia" w:eastAsiaTheme="minorEastAsia"/>
                <w:sz w:val="24"/>
                <w:szCs w:val="24"/>
              </w:rPr>
              <w:t>1</w:t>
            </w:r>
            <w:r>
              <w:rPr>
                <w:rFonts w:hAnsiTheme="minorEastAsia" w:eastAsiaTheme="minorEastAsia"/>
                <w:sz w:val="24"/>
                <w:szCs w:val="24"/>
              </w:rPr>
              <w:t>月</w:t>
            </w:r>
            <w:r>
              <w:rPr>
                <w:rFonts w:hint="eastAsia" w:eastAsiaTheme="minorEastAsia"/>
                <w:sz w:val="24"/>
                <w:szCs w:val="24"/>
              </w:rPr>
              <w:t>22</w:t>
            </w:r>
            <w:r>
              <w:rPr>
                <w:rFonts w:hAnsiTheme="minorEastAsia" w:eastAsiaTheme="minorEastAsia"/>
                <w:sz w:val="24"/>
                <w:szCs w:val="24"/>
              </w:rPr>
              <w:t>日，法人代表</w:t>
            </w:r>
            <w:r>
              <w:rPr>
                <w:rFonts w:hint="eastAsia" w:hAnsiTheme="minorEastAsia" w:eastAsiaTheme="minorEastAsia"/>
                <w:sz w:val="24"/>
                <w:szCs w:val="24"/>
              </w:rPr>
              <w:t>彭桂福</w:t>
            </w:r>
            <w:r>
              <w:rPr>
                <w:rFonts w:hAnsiTheme="minorEastAsia" w:eastAsiaTheme="minorEastAsia"/>
                <w:sz w:val="24"/>
                <w:szCs w:val="24"/>
              </w:rPr>
              <w:t>，</w:t>
            </w:r>
            <w:r>
              <w:rPr>
                <w:rFonts w:hAnsiTheme="minorEastAsia" w:eastAsiaTheme="minorEastAsia"/>
                <w:color w:val="000000"/>
                <w:sz w:val="24"/>
                <w:szCs w:val="24"/>
              </w:rPr>
              <w:t>公司注册资本</w:t>
            </w:r>
            <w:r>
              <w:rPr>
                <w:rFonts w:hint="eastAsia" w:eastAsiaTheme="minorEastAsia"/>
                <w:color w:val="000000"/>
                <w:sz w:val="24"/>
                <w:szCs w:val="24"/>
              </w:rPr>
              <w:t>500</w:t>
            </w:r>
            <w:r>
              <w:rPr>
                <w:rFonts w:hAnsiTheme="minorEastAsia" w:eastAsiaTheme="minorEastAsia"/>
                <w:color w:val="000000"/>
                <w:sz w:val="24"/>
                <w:szCs w:val="24"/>
              </w:rPr>
              <w:t>万元。</w:t>
            </w:r>
          </w:p>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注册地址：</w:t>
            </w:r>
            <w:r>
              <w:rPr>
                <w:rFonts w:hint="eastAsia" w:hAnsiTheme="minorEastAsia" w:eastAsiaTheme="minorEastAsia"/>
                <w:sz w:val="24"/>
                <w:szCs w:val="24"/>
              </w:rPr>
              <w:t>江西省南昌市青山湖区解放东路179号龙鼎商业广场（原金城国际）10号商业办公楼-307室</w:t>
            </w:r>
            <w:r>
              <w:rPr>
                <w:rFonts w:hAnsiTheme="minorEastAsia" w:eastAsiaTheme="minorEastAsia"/>
                <w:color w:val="000000"/>
                <w:sz w:val="24"/>
                <w:szCs w:val="24"/>
              </w:rPr>
              <w:t>。</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经营范围：</w:t>
            </w:r>
            <w:r>
              <w:rPr>
                <w:rFonts w:hint="eastAsia" w:hAnsiTheme="minorEastAsia" w:eastAsiaTheme="minorEastAsia"/>
                <w:color w:val="000000"/>
                <w:sz w:val="24"/>
                <w:szCs w:val="24"/>
              </w:rPr>
              <w:t>计算机软硬件技术开发、技术服务；建筑材料、化工产品（易制毒及危险化学品除外）、预拌混凝土、金属材料销售；石材养护；室内外装饰工程、地坪工程、体育场地设施工程；网上贸易代理；自营和代理各类商品及技术的进出口业务。(依法须经批准的项目,经相关部门批准后方可开展经营活动) 。</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组织机构：综合部、采购部、销售部</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查到了企业的营业执照，经营范围包括了认证范围内产品。</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领导作用和承诺、组织的岗位职责和权限</w:t>
            </w:r>
          </w:p>
        </w:tc>
        <w:tc>
          <w:tcPr>
            <w:tcW w:w="1311" w:type="dxa"/>
            <w:vAlign w:val="center"/>
          </w:tcPr>
          <w:p>
            <w:pPr>
              <w:spacing w:line="360" w:lineRule="auto"/>
              <w:rPr>
                <w:rFonts w:eastAsiaTheme="minorEastAsia"/>
                <w:b/>
                <w:sz w:val="24"/>
                <w:szCs w:val="24"/>
              </w:rPr>
            </w:pPr>
            <w:r>
              <w:rPr>
                <w:rFonts w:hAnsiTheme="minorEastAsia" w:eastAsiaTheme="minorEastAsia"/>
                <w:sz w:val="24"/>
                <w:szCs w:val="24"/>
              </w:rPr>
              <w:t>O：</w:t>
            </w:r>
            <w:r>
              <w:rPr>
                <w:rFonts w:eastAsiaTheme="minorEastAsia"/>
                <w:sz w:val="24"/>
                <w:szCs w:val="24"/>
              </w:rPr>
              <w:t>5.1</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据管代宋国嵩介绍，公司管理体系运行已满</w:t>
            </w:r>
            <w:r>
              <w:rPr>
                <w:rFonts w:hint="eastAsia" w:eastAsiaTheme="minorEastAsia"/>
                <w:sz w:val="24"/>
                <w:szCs w:val="24"/>
              </w:rPr>
              <w:t>3</w:t>
            </w:r>
            <w:r>
              <w:rPr>
                <w:rFonts w:hAnsiTheme="minorEastAsia" w:eastAsiaTheme="minorEastAsia"/>
                <w:sz w:val="24"/>
                <w:szCs w:val="24"/>
              </w:rPr>
              <w:t>个月。对部门及其职责进行了规定，设有</w:t>
            </w:r>
            <w:r>
              <w:rPr>
                <w:rFonts w:hAnsiTheme="minorEastAsia" w:eastAsiaTheme="minorEastAsia"/>
                <w:color w:val="000000"/>
                <w:sz w:val="24"/>
                <w:szCs w:val="24"/>
              </w:rPr>
              <w:t>综合部、采购部、销售部</w:t>
            </w:r>
            <w:r>
              <w:rPr>
                <w:rFonts w:hAnsiTheme="minorEastAsia" w:eastAsiaTheme="minorEastAsia"/>
                <w:sz w:val="24"/>
                <w:szCs w:val="24"/>
              </w:rPr>
              <w:t>，编制了岗位职责汇编，以文件上发的形式沟通各部门的职责及各部门之间工作的联系。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总经理彭桂福，主要负责公司全面工作，</w:t>
            </w:r>
            <w:r>
              <w:rPr>
                <w:rFonts w:hAnsiTheme="minorEastAsia" w:eastAsiaTheme="minorEastAsia"/>
                <w:color w:val="000000"/>
                <w:sz w:val="24"/>
                <w:szCs w:val="24"/>
              </w:rPr>
              <w:t>日常主要侧重于公司财务及采购销售工作，根据体系的要求，负责组织制定方针、目标，管理评审等工作；</w:t>
            </w:r>
            <w:r>
              <w:rPr>
                <w:rFonts w:hAnsiTheme="minorEastAsia" w:eastAsiaTheme="minorEastAsia"/>
                <w:sz w:val="24"/>
                <w:szCs w:val="24"/>
              </w:rPr>
              <w:t>确保本公司三体系所需的过程得到建立、实施和保持；在全公司范围内促进满足顾客要求意识、环境保护意识、职业健康安全意识的形成和提高；就体系有关事宜对外联系。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总经理主持建立了质量环境职业健康安全管理体系，对管理体系的运行和保持进行了适当的授权，提供了必需的资源，能履行其管理承诺。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组织从</w:t>
            </w:r>
            <w:r>
              <w:rPr>
                <w:rFonts w:eastAsiaTheme="minorEastAsia"/>
                <w:sz w:val="24"/>
                <w:szCs w:val="24"/>
              </w:rPr>
              <w:t>20</w:t>
            </w:r>
            <w:r>
              <w:rPr>
                <w:rFonts w:hint="eastAsia" w:eastAsiaTheme="minorEastAsia"/>
                <w:sz w:val="24"/>
                <w:szCs w:val="24"/>
              </w:rPr>
              <w:t>20</w:t>
            </w:r>
            <w:r>
              <w:rPr>
                <w:rFonts w:hAnsiTheme="minorEastAsia" w:eastAsiaTheme="minorEastAsia"/>
                <w:sz w:val="24"/>
                <w:szCs w:val="24"/>
              </w:rPr>
              <w:t>年</w:t>
            </w:r>
            <w:r>
              <w:rPr>
                <w:rFonts w:eastAsiaTheme="minorEastAsia"/>
                <w:sz w:val="24"/>
                <w:szCs w:val="24"/>
              </w:rPr>
              <w:t>1</w:t>
            </w:r>
            <w:r>
              <w:rPr>
                <w:rFonts w:hAnsiTheme="minorEastAsia" w:eastAsiaTheme="minorEastAsia"/>
                <w:sz w:val="24"/>
                <w:szCs w:val="24"/>
              </w:rPr>
              <w:t>月开始运行三体系，组织了内审员培训，识别了生产的过程及其相互关系，企业提供《管理手册》，依据</w:t>
            </w:r>
            <w:r>
              <w:rPr>
                <w:rFonts w:eastAsiaTheme="minorEastAsia"/>
                <w:sz w:val="24"/>
                <w:szCs w:val="24"/>
              </w:rPr>
              <w:t>GB/T19001-2016/ISO9001:2015</w:t>
            </w:r>
            <w:r>
              <w:rPr>
                <w:rFonts w:hAnsiTheme="minorEastAsia" w:eastAsiaTheme="minorEastAsia"/>
                <w:sz w:val="24"/>
                <w:szCs w:val="24"/>
              </w:rPr>
              <w:t>、</w:t>
            </w:r>
            <w:r>
              <w:rPr>
                <w:rFonts w:eastAsiaTheme="minorEastAsia"/>
                <w:sz w:val="24"/>
                <w:szCs w:val="24"/>
              </w:rPr>
              <w:t>GB/T24001-2016/IS014001:2015</w:t>
            </w:r>
            <w:r>
              <w:rPr>
                <w:rFonts w:hAnsiTheme="minorEastAsia" w:eastAsiaTheme="minorEastAsia"/>
                <w:sz w:val="24"/>
                <w:szCs w:val="24"/>
              </w:rPr>
              <w:t>、</w:t>
            </w:r>
            <w:r>
              <w:rPr>
                <w:rFonts w:eastAsiaTheme="minorEastAsia"/>
                <w:sz w:val="24"/>
                <w:szCs w:val="24"/>
              </w:rPr>
              <w:t>ISO45001:2018</w:t>
            </w:r>
            <w:r>
              <w:rPr>
                <w:rFonts w:hAnsiTheme="minorEastAsia" w:eastAsiaTheme="minorEastAsia"/>
                <w:sz w:val="24"/>
                <w:szCs w:val="24"/>
              </w:rPr>
              <w:t>标准。</w:t>
            </w:r>
            <w:r>
              <w:rPr>
                <w:rFonts w:eastAsiaTheme="minorEastAsia"/>
                <w:sz w:val="24"/>
                <w:szCs w:val="24"/>
              </w:rPr>
              <w:t>20</w:t>
            </w:r>
            <w:r>
              <w:rPr>
                <w:rFonts w:hint="eastAsia" w:eastAsiaTheme="minorEastAsia"/>
                <w:sz w:val="24"/>
                <w:szCs w:val="24"/>
              </w:rPr>
              <w:t>20</w:t>
            </w:r>
            <w:r>
              <w:rPr>
                <w:rFonts w:eastAsiaTheme="minorEastAsia"/>
                <w:sz w:val="24"/>
                <w:szCs w:val="24"/>
              </w:rPr>
              <w:t>.1.</w:t>
            </w:r>
            <w:r>
              <w:rPr>
                <w:rFonts w:hint="eastAsia" w:eastAsiaTheme="minorEastAsia"/>
                <w:sz w:val="24"/>
                <w:szCs w:val="24"/>
              </w:rPr>
              <w:t>25</w:t>
            </w:r>
            <w:r>
              <w:rPr>
                <w:rFonts w:hAnsiTheme="minorEastAsia" w:eastAsiaTheme="minorEastAsia"/>
                <w:sz w:val="24"/>
                <w:szCs w:val="24"/>
              </w:rPr>
              <w:t>发布，</w:t>
            </w:r>
            <w:r>
              <w:rPr>
                <w:rFonts w:eastAsiaTheme="minorEastAsia"/>
                <w:sz w:val="24"/>
                <w:szCs w:val="24"/>
              </w:rPr>
              <w:t>20</w:t>
            </w:r>
            <w:r>
              <w:rPr>
                <w:rFonts w:hint="eastAsia" w:eastAsiaTheme="minorEastAsia"/>
                <w:sz w:val="24"/>
                <w:szCs w:val="24"/>
              </w:rPr>
              <w:t>20</w:t>
            </w:r>
            <w:r>
              <w:rPr>
                <w:rFonts w:eastAsiaTheme="minorEastAsia"/>
                <w:sz w:val="24"/>
                <w:szCs w:val="24"/>
              </w:rPr>
              <w:t>.1.</w:t>
            </w:r>
            <w:r>
              <w:rPr>
                <w:rFonts w:hint="eastAsia" w:eastAsiaTheme="minorEastAsia"/>
                <w:sz w:val="24"/>
                <w:szCs w:val="24"/>
              </w:rPr>
              <w:t>25</w:t>
            </w:r>
            <w:r>
              <w:rPr>
                <w:rFonts w:hAnsiTheme="minorEastAsia" w:eastAsiaTheme="minorEastAsia"/>
                <w:sz w:val="24"/>
                <w:szCs w:val="24"/>
              </w:rPr>
              <w:t>实施；总经理彭桂福。任命管代：宋国嵩；职业健康安全事务代表：李强，现有手册从发布实施以来已经运行</w:t>
            </w:r>
            <w:r>
              <w:rPr>
                <w:rFonts w:hint="eastAsia" w:eastAsiaTheme="minorEastAsia"/>
                <w:sz w:val="24"/>
                <w:szCs w:val="24"/>
              </w:rPr>
              <w:t>3</w:t>
            </w:r>
            <w:r>
              <w:rPr>
                <w:rFonts w:hAnsiTheme="minorEastAsia" w:eastAsiaTheme="minorEastAsia"/>
                <w:sz w:val="24"/>
                <w:szCs w:val="24"/>
              </w:rPr>
              <w:t>个月以上。</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理解组织及其环境</w:t>
            </w:r>
          </w:p>
        </w:tc>
        <w:tc>
          <w:tcPr>
            <w:tcW w:w="1311" w:type="dxa"/>
            <w:vAlign w:val="center"/>
          </w:tcPr>
          <w:p>
            <w:pPr>
              <w:spacing w:line="360" w:lineRule="auto"/>
              <w:rPr>
                <w:rFonts w:eastAsiaTheme="minorEastAsia"/>
                <w:b/>
                <w:sz w:val="24"/>
                <w:szCs w:val="24"/>
              </w:rPr>
            </w:pPr>
            <w:r>
              <w:rPr>
                <w:rFonts w:hAnsiTheme="minorEastAsia" w:eastAsiaTheme="minorEastAsia"/>
                <w:sz w:val="24"/>
                <w:szCs w:val="24"/>
              </w:rPr>
              <w:t>O：</w:t>
            </w:r>
            <w:r>
              <w:rPr>
                <w:rFonts w:eastAsiaTheme="minorEastAsia"/>
                <w:sz w:val="24"/>
                <w:szCs w:val="24"/>
              </w:rPr>
              <w:t>4.1</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提供《管理手册》，对公司地理位置、国内市场地位、法律法规要求、公司内部文化观价值观、内外部环境变化等均作出描述。</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与总经理</w:t>
            </w:r>
            <w:r>
              <w:rPr>
                <w:rFonts w:hint="eastAsia" w:hAnsiTheme="minorEastAsia" w:eastAsiaTheme="minorEastAsia"/>
                <w:sz w:val="24"/>
                <w:szCs w:val="24"/>
              </w:rPr>
              <w:t>彭桂福</w:t>
            </w:r>
            <w:r>
              <w:rPr>
                <w:rFonts w:hAnsiTheme="minorEastAsia" w:eastAsia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业务逐步开展，在行业内占据一定市场地位。</w:t>
            </w:r>
          </w:p>
          <w:p>
            <w:pPr>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理解相关方的需求和期望</w:t>
            </w:r>
          </w:p>
        </w:tc>
        <w:tc>
          <w:tcPr>
            <w:tcW w:w="1311" w:type="dxa"/>
            <w:vAlign w:val="center"/>
          </w:tcPr>
          <w:p>
            <w:pPr>
              <w:spacing w:line="360" w:lineRule="auto"/>
              <w:rPr>
                <w:rFonts w:eastAsiaTheme="minorEastAsia"/>
                <w:sz w:val="24"/>
                <w:szCs w:val="24"/>
              </w:rPr>
            </w:pPr>
            <w:r>
              <w:rPr>
                <w:rFonts w:hAnsiTheme="minorEastAsia" w:eastAsiaTheme="minorEastAsia"/>
                <w:sz w:val="24"/>
                <w:szCs w:val="24"/>
              </w:rPr>
              <w:t>O：</w:t>
            </w:r>
            <w:r>
              <w:rPr>
                <w:rFonts w:eastAsiaTheme="minorEastAsia"/>
                <w:sz w:val="24"/>
                <w:szCs w:val="24"/>
              </w:rPr>
              <w:t>4.2</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基本识别了与组织管理体系有关的相关方和要求</w:t>
            </w:r>
            <w:r>
              <w:rPr>
                <w:rFonts w:hAnsiTheme="minorEastAsia" w:eastAsiaTheme="minorEastAsia"/>
                <w:sz w:val="24"/>
                <w:szCs w:val="24"/>
                <w:lang w:val="zh-CN"/>
              </w:rPr>
              <w:t>。</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w:t>
            </w:r>
            <w:r>
              <w:rPr>
                <w:rFonts w:eastAsiaTheme="minorEastAsia"/>
                <w:sz w:val="24"/>
                <w:szCs w:val="24"/>
              </w:rPr>
              <w:t>/</w:t>
            </w:r>
            <w:r>
              <w:rPr>
                <w:rFonts w:hAnsiTheme="minorEastAsia" w:eastAsiaTheme="minorEastAsia"/>
                <w:sz w:val="24"/>
                <w:szCs w:val="24"/>
              </w:rPr>
              <w:t>职业健康安全管理体系的范围</w:t>
            </w:r>
          </w:p>
        </w:tc>
        <w:tc>
          <w:tcPr>
            <w:tcW w:w="1311" w:type="dxa"/>
            <w:vAlign w:val="center"/>
          </w:tcPr>
          <w:p>
            <w:pPr>
              <w:spacing w:line="360" w:lineRule="auto"/>
              <w:rPr>
                <w:rFonts w:eastAsiaTheme="minorEastAsia"/>
                <w:color w:val="000000"/>
                <w:sz w:val="24"/>
                <w:szCs w:val="24"/>
              </w:rPr>
            </w:pPr>
            <w:r>
              <w:rPr>
                <w:rFonts w:hAnsiTheme="minorEastAsia" w:eastAsiaTheme="minorEastAsia"/>
                <w:color w:val="000000"/>
                <w:sz w:val="24"/>
                <w:szCs w:val="24"/>
              </w:rPr>
              <w:t>O：</w:t>
            </w:r>
            <w:r>
              <w:rPr>
                <w:rFonts w:eastAsiaTheme="minorEastAsia"/>
                <w:color w:val="000000"/>
                <w:sz w:val="24"/>
                <w:szCs w:val="24"/>
              </w:rPr>
              <w:t xml:space="preserve">4.3 </w:t>
            </w:r>
          </w:p>
        </w:tc>
        <w:tc>
          <w:tcPr>
            <w:tcW w:w="10004" w:type="dxa"/>
            <w:vAlign w:val="center"/>
          </w:tcPr>
          <w:p>
            <w:pPr>
              <w:spacing w:beforeLines="30" w:afterLines="30" w:line="288" w:lineRule="auto"/>
              <w:ind w:firstLine="480" w:firstLineChars="200"/>
              <w:jc w:val="left"/>
              <w:rPr>
                <w:rFonts w:eastAsiaTheme="minorEastAsia"/>
                <w:color w:val="000000"/>
                <w:sz w:val="24"/>
                <w:szCs w:val="24"/>
              </w:rPr>
            </w:pPr>
            <w:r>
              <w:rPr>
                <w:rFonts w:hAnsiTheme="minorEastAsia" w:eastAsiaTheme="minorEastAsia"/>
                <w:color w:val="000000"/>
                <w:sz w:val="24"/>
                <w:szCs w:val="24"/>
              </w:rPr>
              <w:t>经确认企业的管理体系范围是：</w:t>
            </w:r>
          </w:p>
          <w:p>
            <w:pPr>
              <w:spacing w:beforeLines="30" w:afterLines="30" w:line="288" w:lineRule="auto"/>
              <w:ind w:firstLine="480" w:firstLineChars="200"/>
              <w:rPr>
                <w:rFonts w:eastAsiaTheme="minorEastAsia"/>
                <w:color w:val="000000"/>
                <w:sz w:val="24"/>
                <w:szCs w:val="24"/>
              </w:rPr>
            </w:pPr>
            <w:r>
              <w:rPr>
                <w:rFonts w:hint="eastAsia" w:eastAsiaTheme="minorEastAsia"/>
                <w:color w:val="000000"/>
                <w:sz w:val="24"/>
                <w:szCs w:val="24"/>
              </w:rPr>
              <w:t>Q：环氧树脂地坪、混凝土密封固化地坪、金刚砂耐磨地坪的销售</w:t>
            </w:r>
          </w:p>
          <w:p>
            <w:pPr>
              <w:spacing w:beforeLines="30" w:afterLines="30" w:line="288" w:lineRule="auto"/>
              <w:ind w:firstLine="480" w:firstLineChars="200"/>
              <w:rPr>
                <w:rFonts w:eastAsiaTheme="minorEastAsia"/>
                <w:color w:val="000000"/>
                <w:sz w:val="24"/>
                <w:szCs w:val="24"/>
              </w:rPr>
            </w:pPr>
            <w:r>
              <w:rPr>
                <w:rFonts w:hint="eastAsia" w:eastAsiaTheme="minorEastAsia"/>
                <w:color w:val="000000"/>
                <w:sz w:val="24"/>
                <w:szCs w:val="24"/>
              </w:rPr>
              <w:t>E：环氧树脂地坪、混凝土密封固化地坪、金刚砂耐磨地坪的销售所涉及的相关环境管理活动</w:t>
            </w:r>
          </w:p>
          <w:p>
            <w:pPr>
              <w:spacing w:beforeLines="30" w:afterLines="30" w:line="288" w:lineRule="auto"/>
              <w:ind w:firstLine="480" w:firstLineChars="200"/>
              <w:rPr>
                <w:rFonts w:eastAsiaTheme="minorEastAsia"/>
                <w:color w:val="000000"/>
                <w:sz w:val="24"/>
                <w:szCs w:val="24"/>
              </w:rPr>
            </w:pPr>
            <w:r>
              <w:rPr>
                <w:rFonts w:hint="eastAsia" w:eastAsiaTheme="minorEastAsia"/>
                <w:color w:val="000000"/>
                <w:sz w:val="24"/>
                <w:szCs w:val="24"/>
              </w:rPr>
              <w:t>O：环氧树脂地坪、混凝土密封固化地坪、金刚砂耐磨地坪的销售所涉及的相关职业健康安全管理活动</w:t>
            </w:r>
          </w:p>
          <w:p>
            <w:pPr>
              <w:spacing w:beforeLines="30" w:afterLines="30" w:line="288" w:lineRule="auto"/>
              <w:ind w:firstLine="480" w:firstLineChars="200"/>
              <w:rPr>
                <w:rFonts w:eastAsiaTheme="minorEastAsia"/>
                <w:color w:val="FF0000"/>
                <w:sz w:val="24"/>
                <w:szCs w:val="24"/>
              </w:rPr>
            </w:pPr>
            <w:r>
              <w:rPr>
                <w:rFonts w:hAnsiTheme="minorEastAsia" w:eastAsiaTheme="minorEastAsia"/>
                <w:sz w:val="24"/>
                <w:szCs w:val="24"/>
              </w:rPr>
              <w:t>体系自运行以来范围没有变化</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职业健康安全管理体系及其过程</w:t>
            </w:r>
          </w:p>
        </w:tc>
        <w:tc>
          <w:tcPr>
            <w:tcW w:w="1311" w:type="dxa"/>
            <w:vAlign w:val="center"/>
          </w:tcPr>
          <w:p>
            <w:pPr>
              <w:spacing w:line="360" w:lineRule="auto"/>
              <w:rPr>
                <w:rFonts w:eastAsiaTheme="minorEastAsia"/>
                <w:sz w:val="24"/>
                <w:szCs w:val="24"/>
              </w:rPr>
            </w:pPr>
            <w:r>
              <w:rPr>
                <w:rFonts w:hAnsiTheme="minorEastAsia" w:eastAsiaTheme="minorEastAsia"/>
                <w:sz w:val="24"/>
                <w:szCs w:val="24"/>
              </w:rPr>
              <w:t>O：</w:t>
            </w:r>
            <w:r>
              <w:rPr>
                <w:rFonts w:eastAsiaTheme="minorEastAsia"/>
                <w:sz w:val="24"/>
                <w:szCs w:val="24"/>
              </w:rPr>
              <w:t xml:space="preserve">4.4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w:t>
            </w:r>
            <w:r>
              <w:rPr>
                <w:rFonts w:eastAsiaTheme="minorEastAsia"/>
                <w:sz w:val="24"/>
                <w:szCs w:val="24"/>
              </w:rPr>
              <w:t xml:space="preserve"> GB/T19001-2016 </w:t>
            </w:r>
            <w:r>
              <w:rPr>
                <w:rFonts w:hAnsiTheme="minorEastAsia" w:eastAsiaTheme="minorEastAsia"/>
                <w:sz w:val="24"/>
                <w:szCs w:val="24"/>
              </w:rPr>
              <w:t>和</w:t>
            </w:r>
            <w:r>
              <w:rPr>
                <w:rFonts w:eastAsiaTheme="minorEastAsia"/>
                <w:sz w:val="24"/>
                <w:szCs w:val="24"/>
              </w:rPr>
              <w:t xml:space="preserve"> GB/T24001-2016</w:t>
            </w:r>
            <w:r>
              <w:rPr>
                <w:rFonts w:hAnsiTheme="minorEastAsia" w:eastAsiaTheme="minorEastAsia"/>
                <w:sz w:val="24"/>
                <w:szCs w:val="24"/>
              </w:rPr>
              <w:t>、</w:t>
            </w:r>
            <w:r>
              <w:rPr>
                <w:rFonts w:eastAsiaTheme="minorEastAsia"/>
                <w:sz w:val="24"/>
                <w:szCs w:val="24"/>
              </w:rPr>
              <w:t xml:space="preserve">ISO45001:2018 </w:t>
            </w:r>
            <w:r>
              <w:rPr>
                <w:rFonts w:hAnsiTheme="minorEastAsia" w:eastAsiaTheme="minorEastAsia"/>
                <w:sz w:val="24"/>
                <w:szCs w:val="24"/>
              </w:rPr>
              <w:t>标准的要求识别了质量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职业健康安全管理所需的过程及相互作用，识别了质量和环境、职业健康安全管理体系涉及的各个过程：</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a) </w:t>
            </w:r>
            <w:r>
              <w:rPr>
                <w:rFonts w:hAnsiTheme="minorEastAsia" w:eastAsiaTheme="minorEastAsia"/>
                <w:sz w:val="24"/>
                <w:szCs w:val="24"/>
              </w:rPr>
              <w:t>确定这些过程所需的输入和期望的输出；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b) </w:t>
            </w:r>
            <w:r>
              <w:rPr>
                <w:rFonts w:hAnsiTheme="minorEastAsia" w:eastAsiaTheme="minorEastAsia"/>
                <w:sz w:val="24"/>
                <w:szCs w:val="24"/>
              </w:rPr>
              <w:t>确定这些过程的顺序和相互作用；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c) </w:t>
            </w:r>
            <w:r>
              <w:rPr>
                <w:rFonts w:hAnsiTheme="minorEastAsia" w:eastAsiaTheme="minorEastAsia"/>
                <w:sz w:val="24"/>
                <w:szCs w:val="24"/>
              </w:rPr>
              <w:t>建立了程序文件、管理制度、作业指导书、检验规程等明确了各个过程所需的准则和方法，并明确了目标。</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d) </w:t>
            </w:r>
            <w:r>
              <w:rPr>
                <w:rFonts w:hAnsiTheme="minorEastAsia" w:eastAsiaTheme="minorEastAsia"/>
                <w:sz w:val="24"/>
                <w:szCs w:val="24"/>
              </w:rPr>
              <w:t>规定了每个过程所需的资源；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e) </w:t>
            </w:r>
            <w:r>
              <w:rPr>
                <w:rFonts w:hAnsiTheme="minorEastAsia" w:eastAsiaTheme="minorEastAsia"/>
                <w:sz w:val="24"/>
                <w:szCs w:val="24"/>
              </w:rPr>
              <w:t>规定与这些过程相关的责任和权限；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  f) </w:t>
            </w:r>
            <w:r>
              <w:rPr>
                <w:rFonts w:hAnsiTheme="minorEastAsia" w:eastAsiaTheme="minorEastAsia"/>
                <w:sz w:val="24"/>
                <w:szCs w:val="24"/>
              </w:rPr>
              <w:t>针对这些过程识别和确定了质量管理活动的风险、机会以及所需的措施；</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g) </w:t>
            </w:r>
            <w:r>
              <w:rPr>
                <w:rFonts w:hAnsiTheme="minorEastAsia" w:eastAsiaTheme="minorEastAsia"/>
                <w:sz w:val="24"/>
                <w:szCs w:val="24"/>
              </w:rPr>
              <w:t>对这些过程进行了评价，暂无所需的变更；</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h) </w:t>
            </w:r>
            <w:r>
              <w:rPr>
                <w:rFonts w:hAnsiTheme="minorEastAsia" w:eastAsiaTheme="minorEastAsia"/>
                <w:sz w:val="24"/>
                <w:szCs w:val="24"/>
              </w:rPr>
              <w:t>公司通过绩效评价、内部审核、管理评审等以期对质量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职业健康安全管理管理体系得到改进。</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公司按照标准建立了文件化的质量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职业健康安全管理体系，编制了质量／环境</w:t>
            </w:r>
            <w:r>
              <w:rPr>
                <w:rFonts w:eastAsiaTheme="minorEastAsia"/>
                <w:sz w:val="24"/>
                <w:szCs w:val="24"/>
              </w:rPr>
              <w:t>/</w:t>
            </w:r>
            <w:r>
              <w:rPr>
                <w:rFonts w:hAnsiTheme="minorEastAsia" w:eastAsia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方针</w:t>
            </w:r>
          </w:p>
        </w:tc>
        <w:tc>
          <w:tcPr>
            <w:tcW w:w="1311" w:type="dxa"/>
            <w:vAlign w:val="center"/>
          </w:tcPr>
          <w:p>
            <w:pPr>
              <w:spacing w:line="360" w:lineRule="auto"/>
              <w:rPr>
                <w:rFonts w:eastAsiaTheme="minorEastAsia"/>
                <w:sz w:val="24"/>
                <w:szCs w:val="24"/>
              </w:rPr>
            </w:pPr>
            <w:r>
              <w:rPr>
                <w:rFonts w:hAnsiTheme="minorEastAsia" w:eastAsiaTheme="minorEastAsia"/>
                <w:sz w:val="24"/>
                <w:szCs w:val="24"/>
              </w:rPr>
              <w:t>O：</w:t>
            </w:r>
            <w:r>
              <w:rPr>
                <w:rFonts w:eastAsiaTheme="minorEastAsia"/>
                <w:sz w:val="24"/>
                <w:szCs w:val="24"/>
              </w:rPr>
              <w:t xml:space="preserve">5.2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企业已经制定质量、环境、安全方针，具体包含在《管理手册》，公司的质量、环境、职业健康安全方针是：</w:t>
            </w:r>
          </w:p>
          <w:p>
            <w:pPr>
              <w:spacing w:line="400" w:lineRule="exact"/>
              <w:ind w:firstLine="560" w:firstLineChars="200"/>
              <w:rPr>
                <w:rFonts w:ascii="宋体" w:hAnsi="宋体"/>
                <w:spacing w:val="20"/>
                <w:sz w:val="24"/>
              </w:rPr>
            </w:pPr>
            <w:r>
              <w:rPr>
                <w:rFonts w:hint="eastAsia" w:ascii="宋体" w:hAnsi="宋体"/>
                <w:spacing w:val="20"/>
                <w:sz w:val="24"/>
              </w:rPr>
              <w:t xml:space="preserve">质量至上、持续创新、诚实守信、顾客至上 </w:t>
            </w:r>
          </w:p>
          <w:p>
            <w:pPr>
              <w:spacing w:line="400" w:lineRule="exact"/>
              <w:ind w:firstLine="560" w:firstLineChars="200"/>
              <w:rPr>
                <w:rFonts w:ascii="宋体" w:hAnsi="宋体"/>
                <w:spacing w:val="20"/>
                <w:sz w:val="24"/>
              </w:rPr>
            </w:pPr>
            <w:r>
              <w:rPr>
                <w:rFonts w:hint="eastAsia" w:ascii="宋体" w:hAnsi="宋体"/>
                <w:spacing w:val="20"/>
                <w:sz w:val="24"/>
              </w:rPr>
              <w:t>预防为主，降低风险；遵章守法，创造和谐。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查领导层参与制定管理体系方针的情况，是否熟悉组织的管理体系方针内容、含义：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彭桂福，管代宋国嵩，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组织的角色、职责和权限</w:t>
            </w:r>
          </w:p>
        </w:tc>
        <w:tc>
          <w:tcPr>
            <w:tcW w:w="1311" w:type="dxa"/>
            <w:vAlign w:val="center"/>
          </w:tcPr>
          <w:p>
            <w:pPr>
              <w:spacing w:line="360" w:lineRule="auto"/>
              <w:rPr>
                <w:rFonts w:eastAsiaTheme="minorEastAsia"/>
                <w:sz w:val="24"/>
                <w:szCs w:val="24"/>
              </w:rPr>
            </w:pPr>
            <w:r>
              <w:rPr>
                <w:rFonts w:hAnsiTheme="minorEastAsia" w:eastAsiaTheme="minorEastAsia"/>
                <w:sz w:val="24"/>
                <w:szCs w:val="24"/>
              </w:rPr>
              <w:t>O：</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应对风险和机会的措施</w:t>
            </w:r>
          </w:p>
        </w:tc>
        <w:tc>
          <w:tcPr>
            <w:tcW w:w="1311" w:type="dxa"/>
            <w:vAlign w:val="center"/>
          </w:tcPr>
          <w:p>
            <w:pPr>
              <w:spacing w:line="360" w:lineRule="auto"/>
              <w:rPr>
                <w:rFonts w:eastAsiaTheme="minorEastAsia"/>
                <w:sz w:val="24"/>
                <w:szCs w:val="24"/>
              </w:rPr>
            </w:pPr>
            <w:r>
              <w:rPr>
                <w:rFonts w:hAnsiTheme="minorEastAsia" w:eastAsiaTheme="minorEastAsia"/>
                <w:sz w:val="24"/>
                <w:szCs w:val="24"/>
              </w:rPr>
              <w:t>O：</w:t>
            </w:r>
            <w:r>
              <w:rPr>
                <w:rFonts w:eastAsiaTheme="minorEastAsia"/>
                <w:sz w:val="24"/>
                <w:szCs w:val="24"/>
              </w:rPr>
              <w:t xml:space="preserve"> 6.1.1</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目标和措施计划（管理方案）</w:t>
            </w:r>
          </w:p>
        </w:tc>
        <w:tc>
          <w:tcPr>
            <w:tcW w:w="1311" w:type="dxa"/>
            <w:vAlign w:val="center"/>
          </w:tcPr>
          <w:p>
            <w:pPr>
              <w:spacing w:line="360" w:lineRule="auto"/>
              <w:rPr>
                <w:rFonts w:eastAsiaTheme="minorEastAsia"/>
                <w:sz w:val="24"/>
                <w:szCs w:val="24"/>
              </w:rPr>
            </w:pPr>
            <w:r>
              <w:rPr>
                <w:rFonts w:hAnsiTheme="minorEastAsia" w:eastAsiaTheme="minorEastAsia"/>
                <w:sz w:val="24"/>
                <w:szCs w:val="24"/>
              </w:rPr>
              <w:t>O：</w:t>
            </w:r>
            <w:r>
              <w:rPr>
                <w:rFonts w:eastAsiaTheme="minorEastAsia"/>
                <w:sz w:val="24"/>
                <w:szCs w:val="24"/>
              </w:rPr>
              <w:t xml:space="preserve">6.2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管理目标：</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一、质量目标：</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1、交货及时率≥95%</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 xml:space="preserve">2、顾客满意度92分以上 </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二、环境/职业健康安全目标：</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1、固体废弃物分类处理率100%</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2、火灾事故未0；</w:t>
            </w:r>
            <w:r>
              <w:rPr>
                <w:rFonts w:hAnsiTheme="minorEastAsia" w:eastAsiaTheme="minorEastAsia"/>
                <w:sz w:val="24"/>
                <w:szCs w:val="24"/>
              </w:rPr>
              <w:t xml:space="preserve"> </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3、</w:t>
            </w:r>
            <w:r>
              <w:rPr>
                <w:rFonts w:hint="eastAsia"/>
                <w:b w:val="0"/>
                <w:bCs/>
                <w:color w:val="FF0000"/>
                <w:sz w:val="24"/>
                <w:szCs w:val="24"/>
                <w:lang w:val="en-US" w:eastAsia="zh-CN"/>
              </w:rPr>
              <w:t>中毒和意外伤害</w:t>
            </w:r>
            <w:r>
              <w:rPr>
                <w:rFonts w:hint="eastAsia" w:hAnsiTheme="minorEastAsia" w:eastAsiaTheme="minorEastAsia"/>
                <w:sz w:val="24"/>
                <w:szCs w:val="24"/>
              </w:rPr>
              <w:t>为零</w:t>
            </w:r>
          </w:p>
          <w:p>
            <w:pPr>
              <w:spacing w:beforeLines="30" w:afterLines="30" w:line="288" w:lineRule="auto"/>
              <w:ind w:firstLine="480" w:firstLineChars="200"/>
              <w:jc w:val="left"/>
              <w:rPr>
                <w:rFonts w:eastAsiaTheme="minorEastAsia"/>
                <w:color w:val="000000"/>
                <w:sz w:val="24"/>
                <w:szCs w:val="24"/>
              </w:rPr>
            </w:pPr>
            <w:r>
              <w:rPr>
                <w:rFonts w:hAnsiTheme="minorEastAsia" w:eastAsiaTheme="minorEastAsia"/>
                <w:sz w:val="24"/>
                <w:szCs w:val="24"/>
              </w:rPr>
              <w:t>组织</w:t>
            </w:r>
            <w:r>
              <w:rPr>
                <w:rFonts w:hAnsiTheme="minorEastAsia" w:eastAsiaTheme="minorEastAsia"/>
                <w:color w:val="000000"/>
                <w:sz w:val="24"/>
                <w:szCs w:val="24"/>
              </w:rPr>
              <w:t>对公司质量、环境、职业健康安全目标、指标予以分解，并在相关职能层次部门建立分目标，查见《质量</w:t>
            </w:r>
            <w:r>
              <w:rPr>
                <w:rFonts w:eastAsiaTheme="minorEastAsia"/>
                <w:color w:val="000000"/>
                <w:sz w:val="24"/>
                <w:szCs w:val="24"/>
              </w:rPr>
              <w:t>\</w:t>
            </w:r>
            <w:r>
              <w:rPr>
                <w:rFonts w:hAnsiTheme="minorEastAsia" w:eastAsiaTheme="minorEastAsia"/>
                <w:color w:val="000000"/>
                <w:sz w:val="24"/>
                <w:szCs w:val="24"/>
              </w:rPr>
              <w:t>环境</w:t>
            </w:r>
            <w:r>
              <w:rPr>
                <w:rFonts w:eastAsiaTheme="minorEastAsia"/>
                <w:color w:val="000000"/>
                <w:sz w:val="24"/>
                <w:szCs w:val="24"/>
              </w:rPr>
              <w:t>\</w:t>
            </w:r>
            <w:r>
              <w:rPr>
                <w:rFonts w:hAnsiTheme="minorEastAsia" w:eastAsiaTheme="minorEastAsia"/>
                <w:color w:val="000000"/>
                <w:sz w:val="24"/>
                <w:szCs w:val="24"/>
              </w:rPr>
              <w:t>职业健康安全目标分解考核表》，</w:t>
            </w:r>
            <w:r>
              <w:rPr>
                <w:rFonts w:eastAsiaTheme="minorEastAsia"/>
                <w:color w:val="000000"/>
                <w:sz w:val="24"/>
                <w:szCs w:val="24"/>
              </w:rPr>
              <w:t>2020.</w:t>
            </w:r>
            <w:r>
              <w:rPr>
                <w:rFonts w:hint="eastAsia" w:eastAsiaTheme="minorEastAsia"/>
                <w:color w:val="000000"/>
                <w:sz w:val="24"/>
                <w:szCs w:val="24"/>
              </w:rPr>
              <w:t>4</w:t>
            </w:r>
            <w:r>
              <w:rPr>
                <w:rFonts w:eastAsiaTheme="minorEastAsia"/>
                <w:color w:val="000000"/>
                <w:sz w:val="24"/>
                <w:szCs w:val="24"/>
              </w:rPr>
              <w:t>.</w:t>
            </w:r>
            <w:r>
              <w:rPr>
                <w:rFonts w:hint="eastAsia" w:eastAsiaTheme="minorEastAsia"/>
                <w:color w:val="000000"/>
                <w:sz w:val="24"/>
                <w:szCs w:val="24"/>
              </w:rPr>
              <w:t>30</w:t>
            </w:r>
            <w:r>
              <w:rPr>
                <w:rFonts w:hAnsiTheme="minorEastAsia" w:eastAsiaTheme="minorEastAsia"/>
                <w:color w:val="000000"/>
                <w:sz w:val="24"/>
                <w:szCs w:val="24"/>
              </w:rPr>
              <w:t>完成情况：</w:t>
            </w:r>
          </w:p>
          <w:tbl>
            <w:tblPr>
              <w:tblStyle w:val="6"/>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102"/>
              <w:gridCol w:w="3343"/>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pacing w:line="240" w:lineRule="exact"/>
                  </w:pPr>
                  <w:r>
                    <w:t>部门</w:t>
                  </w:r>
                </w:p>
              </w:tc>
              <w:tc>
                <w:tcPr>
                  <w:tcW w:w="4335" w:type="dxa"/>
                </w:tcPr>
                <w:p>
                  <w:pPr>
                    <w:spacing w:line="240" w:lineRule="exact"/>
                  </w:pPr>
                  <w:r>
                    <w:t>目标</w:t>
                  </w:r>
                </w:p>
              </w:tc>
              <w:tc>
                <w:tcPr>
                  <w:tcW w:w="4680" w:type="dxa"/>
                </w:tcPr>
                <w:p>
                  <w:pPr>
                    <w:spacing w:line="240" w:lineRule="exact"/>
                  </w:pPr>
                  <w:r>
                    <w:t>考核方式</w:t>
                  </w:r>
                </w:p>
              </w:tc>
              <w:tc>
                <w:tcPr>
                  <w:tcW w:w="3315" w:type="dxa"/>
                </w:tcPr>
                <w:p>
                  <w:pPr>
                    <w:spacing w:line="240" w:lineRule="exact"/>
                  </w:pPr>
                  <w: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restart"/>
                </w:tcPr>
                <w:p>
                  <w:pPr>
                    <w:spacing w:line="240" w:lineRule="exact"/>
                  </w:pPr>
                  <w:r>
                    <w:t>公司</w:t>
                  </w:r>
                </w:p>
              </w:tc>
              <w:tc>
                <w:tcPr>
                  <w:tcW w:w="4335" w:type="dxa"/>
                </w:tcPr>
                <w:p>
                  <w:pPr>
                    <w:spacing w:line="240" w:lineRule="exact"/>
                  </w:pPr>
                  <w:r>
                    <w:rPr>
                      <w:rFonts w:hint="eastAsia"/>
                    </w:rPr>
                    <w:t>交货及时率≥95%</w:t>
                  </w:r>
                </w:p>
              </w:tc>
              <w:tc>
                <w:tcPr>
                  <w:tcW w:w="4680" w:type="dxa"/>
                </w:tcPr>
                <w:p>
                  <w:pPr>
                    <w:spacing w:line="240" w:lineRule="exact"/>
                  </w:pPr>
                  <w:r>
                    <w:rPr>
                      <w:rFonts w:hint="eastAsia"/>
                    </w:rPr>
                    <w:t>交货及时率=当季交货及时数÷交货总次数×100%</w:t>
                  </w:r>
                </w:p>
              </w:tc>
              <w:tc>
                <w:tcPr>
                  <w:tcW w:w="3315" w:type="dxa"/>
                </w:tcPr>
                <w:p>
                  <w:pPr>
                    <w:spacing w:line="240" w:lineRule="exact"/>
                  </w:pPr>
                  <w:r>
                    <w:rPr>
                      <w:rFonts w:hint="eastAsia"/>
                    </w:rPr>
                    <w:t>交货及时率为95%；（7÷7）×100%=100%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tcPr>
                <w:p>
                  <w:pPr>
                    <w:spacing w:line="240" w:lineRule="exact"/>
                  </w:pPr>
                </w:p>
              </w:tc>
              <w:tc>
                <w:tcPr>
                  <w:tcW w:w="4335" w:type="dxa"/>
                </w:tcPr>
                <w:p>
                  <w:pPr>
                    <w:spacing w:line="240" w:lineRule="exact"/>
                  </w:pPr>
                  <w:r>
                    <w:rPr>
                      <w:rFonts w:hint="eastAsia"/>
                    </w:rPr>
                    <w:t>顾客满意度92分以上</w:t>
                  </w:r>
                </w:p>
              </w:tc>
              <w:tc>
                <w:tcPr>
                  <w:tcW w:w="4680" w:type="dxa"/>
                </w:tcPr>
                <w:p>
                  <w:pPr>
                    <w:spacing w:line="240" w:lineRule="exact"/>
                  </w:pPr>
                  <w:r>
                    <w:rPr>
                      <w:rFonts w:hint="eastAsia"/>
                    </w:rPr>
                    <w:t>评定数÷总数×</w:t>
                  </w:r>
                  <w:r>
                    <w:t>100%</w:t>
                  </w:r>
                </w:p>
              </w:tc>
              <w:tc>
                <w:tcPr>
                  <w:tcW w:w="3315" w:type="dxa"/>
                </w:tcPr>
                <w:p>
                  <w:pPr>
                    <w:spacing w:line="240" w:lineRule="exact"/>
                  </w:pPr>
                  <w:r>
                    <w:rPr>
                      <w:rFonts w:hint="eastAsia"/>
                    </w:rPr>
                    <w:t>顾客满意度99分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tcPr>
                <w:p>
                  <w:pPr>
                    <w:spacing w:line="240" w:lineRule="exact"/>
                  </w:pPr>
                </w:p>
              </w:tc>
              <w:tc>
                <w:tcPr>
                  <w:tcW w:w="4335" w:type="dxa"/>
                </w:tcPr>
                <w:p>
                  <w:pPr>
                    <w:spacing w:line="240" w:lineRule="exact"/>
                  </w:pPr>
                  <w:r>
                    <w:rPr>
                      <w:rFonts w:hint="eastAsia"/>
                    </w:rPr>
                    <w:t>火灾事故未0；交通意外伤害为零</w:t>
                  </w:r>
                </w:p>
              </w:tc>
              <w:tc>
                <w:tcPr>
                  <w:tcW w:w="4680" w:type="dxa"/>
                </w:tcPr>
                <w:p>
                  <w:pPr>
                    <w:spacing w:line="240" w:lineRule="exact"/>
                  </w:pPr>
                  <w:r>
                    <w:rPr>
                      <w:rFonts w:hint="eastAsia"/>
                    </w:rPr>
                    <w:t>查看事故记录</w:t>
                  </w:r>
                </w:p>
              </w:tc>
              <w:tc>
                <w:tcPr>
                  <w:tcW w:w="3315" w:type="dxa"/>
                </w:tcPr>
                <w:p>
                  <w:pPr>
                    <w:spacing w:line="240" w:lineRule="exact"/>
                  </w:pPr>
                  <w:r>
                    <w:rPr>
                      <w:rFonts w:hint="eastAsia"/>
                    </w:rPr>
                    <w:t>没有发生事故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50" w:type="dxa"/>
                  <w:vMerge w:val="continue"/>
                </w:tcPr>
                <w:p>
                  <w:pPr>
                    <w:spacing w:line="240" w:lineRule="exact"/>
                  </w:pPr>
                </w:p>
              </w:tc>
              <w:tc>
                <w:tcPr>
                  <w:tcW w:w="4335" w:type="dxa"/>
                </w:tcPr>
                <w:p>
                  <w:pPr>
                    <w:spacing w:line="240" w:lineRule="exact"/>
                  </w:pPr>
                  <w:r>
                    <w:rPr>
                      <w:rFonts w:hint="eastAsia"/>
                    </w:rPr>
                    <w:t>固体废弃物分类处理率100%</w:t>
                  </w:r>
                </w:p>
              </w:tc>
              <w:tc>
                <w:tcPr>
                  <w:tcW w:w="4680" w:type="dxa"/>
                </w:tcPr>
                <w:p>
                  <w:pPr>
                    <w:spacing w:line="240" w:lineRule="exact"/>
                  </w:pPr>
                  <w:r>
                    <w:rPr>
                      <w:rFonts w:hint="eastAsia"/>
                    </w:rPr>
                    <w:t>符合数量÷检查数量×</w:t>
                  </w:r>
                  <w:r>
                    <w:t>100%</w:t>
                  </w:r>
                  <w:r>
                    <w:rPr>
                      <w:rFonts w:hint="eastAsia"/>
                    </w:rPr>
                    <w:t>。</w:t>
                  </w:r>
                </w:p>
              </w:tc>
              <w:tc>
                <w:tcPr>
                  <w:tcW w:w="3315" w:type="dxa"/>
                </w:tcPr>
                <w:p>
                  <w:pPr>
                    <w:spacing w:line="240" w:lineRule="exact"/>
                  </w:pPr>
                  <w:r>
                    <w:rPr>
                      <w:rFonts w:hint="eastAsia"/>
                    </w:rPr>
                    <w:t>固体废弃物分类处置率1</w:t>
                  </w:r>
                  <w:r>
                    <w:t>000%</w:t>
                  </w:r>
                </w:p>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0" w:type="dxa"/>
                  <w:vMerge w:val="restart"/>
                </w:tcPr>
                <w:p>
                  <w:pPr>
                    <w:spacing w:line="240" w:lineRule="exact"/>
                  </w:pPr>
                  <w:r>
                    <w:rPr>
                      <w:rFonts w:hint="eastAsia"/>
                    </w:rPr>
                    <w:t>综合部</w:t>
                  </w:r>
                </w:p>
              </w:tc>
              <w:tc>
                <w:tcPr>
                  <w:tcW w:w="4335" w:type="dxa"/>
                </w:tcPr>
                <w:p>
                  <w:pPr>
                    <w:spacing w:line="240" w:lineRule="exact"/>
                  </w:pPr>
                  <w:r>
                    <w:rPr>
                      <w:rFonts w:hint="eastAsia"/>
                    </w:rPr>
                    <w:t>文件受控率达100%</w:t>
                  </w:r>
                </w:p>
              </w:tc>
              <w:tc>
                <w:tcPr>
                  <w:tcW w:w="4680" w:type="dxa"/>
                </w:tcPr>
                <w:p>
                  <w:pPr>
                    <w:spacing w:line="240" w:lineRule="exact"/>
                  </w:pPr>
                  <w:r>
                    <w:t>受控文件数÷文件总数</w:t>
                  </w:r>
                  <w:r>
                    <w:rPr>
                      <w:rFonts w:hint="eastAsia"/>
                    </w:rPr>
                    <w:t>×</w:t>
                  </w:r>
                  <w:r>
                    <w:t>100%</w:t>
                  </w:r>
                </w:p>
              </w:tc>
              <w:tc>
                <w:tcPr>
                  <w:tcW w:w="3315" w:type="dxa"/>
                </w:tcPr>
                <w:p>
                  <w:pPr>
                    <w:spacing w:line="240" w:lineRule="exact"/>
                  </w:pPr>
                  <w:r>
                    <w:rPr>
                      <w:rFonts w:hint="eastAsia"/>
                    </w:rPr>
                    <w:t>文件受控100%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50" w:type="dxa"/>
                  <w:vMerge w:val="continue"/>
                </w:tcPr>
                <w:p>
                  <w:pPr>
                    <w:spacing w:line="240" w:lineRule="exact"/>
                  </w:pPr>
                </w:p>
              </w:tc>
              <w:tc>
                <w:tcPr>
                  <w:tcW w:w="4335" w:type="dxa"/>
                </w:tcPr>
                <w:p>
                  <w:pPr>
                    <w:spacing w:line="240" w:lineRule="exact"/>
                  </w:pPr>
                  <w:r>
                    <w:rPr>
                      <w:rFonts w:hint="eastAsia"/>
                    </w:rPr>
                    <w:t xml:space="preserve">培训合格率达100% </w:t>
                  </w:r>
                </w:p>
              </w:tc>
              <w:tc>
                <w:tcPr>
                  <w:tcW w:w="4680" w:type="dxa"/>
                </w:tcPr>
                <w:p>
                  <w:pPr>
                    <w:spacing w:line="240" w:lineRule="exact"/>
                  </w:pPr>
                  <w:r>
                    <w:rPr>
                      <w:rFonts w:hint="eastAsia"/>
                    </w:rPr>
                    <w:t>培训次数÷总人次数×</w:t>
                  </w:r>
                  <w:r>
                    <w:t>100%</w:t>
                  </w:r>
                </w:p>
                <w:p>
                  <w:pPr>
                    <w:spacing w:line="240" w:lineRule="exact"/>
                  </w:pPr>
                </w:p>
              </w:tc>
              <w:tc>
                <w:tcPr>
                  <w:tcW w:w="3315" w:type="dxa"/>
                </w:tcPr>
                <w:p>
                  <w:pPr>
                    <w:spacing w:line="240" w:lineRule="exact"/>
                  </w:pPr>
                  <w:r>
                    <w:rPr>
                      <w:rFonts w:hint="eastAsia"/>
                    </w:rPr>
                    <w:t xml:space="preserve">培训合格100%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50" w:type="dxa"/>
                  <w:vMerge w:val="continue"/>
                </w:tcPr>
                <w:p>
                  <w:pPr>
                    <w:spacing w:line="240" w:lineRule="exact"/>
                  </w:pPr>
                </w:p>
              </w:tc>
              <w:tc>
                <w:tcPr>
                  <w:tcW w:w="4335" w:type="dxa"/>
                </w:tcPr>
                <w:p>
                  <w:pPr>
                    <w:spacing w:line="240" w:lineRule="exact"/>
                  </w:pPr>
                  <w:r>
                    <w:rPr>
                      <w:rFonts w:hint="eastAsia"/>
                    </w:rPr>
                    <w:t>火灾事故未0；交通意外伤害为零</w:t>
                  </w:r>
                </w:p>
              </w:tc>
              <w:tc>
                <w:tcPr>
                  <w:tcW w:w="4680" w:type="dxa"/>
                </w:tcPr>
                <w:p>
                  <w:pPr>
                    <w:spacing w:line="240" w:lineRule="exact"/>
                  </w:pPr>
                  <w:r>
                    <w:rPr>
                      <w:rFonts w:hint="eastAsia"/>
                    </w:rPr>
                    <w:t>查看事故记录</w:t>
                  </w:r>
                </w:p>
              </w:tc>
              <w:tc>
                <w:tcPr>
                  <w:tcW w:w="3315" w:type="dxa"/>
                </w:tcPr>
                <w:p>
                  <w:pPr>
                    <w:spacing w:line="240" w:lineRule="exact"/>
                  </w:pPr>
                  <w:r>
                    <w:rPr>
                      <w:rFonts w:hint="eastAsia"/>
                    </w:rPr>
                    <w:t>没有发生事故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0" w:type="dxa"/>
                  <w:vMerge w:val="continue"/>
                </w:tcPr>
                <w:p>
                  <w:pPr>
                    <w:spacing w:line="240" w:lineRule="exact"/>
                  </w:pPr>
                </w:p>
              </w:tc>
              <w:tc>
                <w:tcPr>
                  <w:tcW w:w="4335" w:type="dxa"/>
                </w:tcPr>
                <w:p>
                  <w:pPr>
                    <w:spacing w:line="240" w:lineRule="exact"/>
                  </w:pPr>
                  <w:r>
                    <w:rPr>
                      <w:rFonts w:hint="eastAsia"/>
                    </w:rPr>
                    <w:t>固废分类处置率100%；</w:t>
                  </w:r>
                </w:p>
              </w:tc>
              <w:tc>
                <w:tcPr>
                  <w:tcW w:w="4680" w:type="dxa"/>
                </w:tcPr>
                <w:p>
                  <w:pPr>
                    <w:spacing w:line="240" w:lineRule="exact"/>
                  </w:pPr>
                  <w:r>
                    <w:rPr>
                      <w:rFonts w:hint="eastAsia"/>
                    </w:rPr>
                    <w:t>符合数量÷检查数量×</w:t>
                  </w:r>
                  <w:r>
                    <w:t>100%</w:t>
                  </w:r>
                  <w:r>
                    <w:rPr>
                      <w:rFonts w:hint="eastAsia"/>
                    </w:rPr>
                    <w:t>。</w:t>
                  </w:r>
                </w:p>
              </w:tc>
              <w:tc>
                <w:tcPr>
                  <w:tcW w:w="3315" w:type="dxa"/>
                </w:tcPr>
                <w:p>
                  <w:pPr>
                    <w:spacing w:line="240" w:lineRule="exact"/>
                  </w:pPr>
                  <w:r>
                    <w:rPr>
                      <w:rFonts w:hint="eastAsia"/>
                    </w:rPr>
                    <w:t>固废分类处置率100%；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50" w:type="dxa"/>
                  <w:vMerge w:val="restart"/>
                </w:tcPr>
                <w:p>
                  <w:pPr>
                    <w:spacing w:line="240" w:lineRule="exact"/>
                  </w:pPr>
                  <w:r>
                    <w:rPr>
                      <w:rFonts w:hint="eastAsia"/>
                    </w:rPr>
                    <w:t>销售</w:t>
                  </w:r>
                  <w:r>
                    <w:t>部</w:t>
                  </w:r>
                </w:p>
              </w:tc>
              <w:tc>
                <w:tcPr>
                  <w:tcW w:w="4335" w:type="dxa"/>
                </w:tcPr>
                <w:p>
                  <w:pPr>
                    <w:spacing w:line="240" w:lineRule="exact"/>
                  </w:pPr>
                  <w:r>
                    <w:rPr>
                      <w:rFonts w:hint="eastAsia"/>
                    </w:rPr>
                    <w:t>合同履约率达100%</w:t>
                  </w:r>
                </w:p>
              </w:tc>
              <w:tc>
                <w:tcPr>
                  <w:tcW w:w="4680" w:type="dxa"/>
                </w:tcPr>
                <w:p>
                  <w:pPr>
                    <w:spacing w:line="240" w:lineRule="exact"/>
                  </w:pPr>
                  <w:r>
                    <w:rPr>
                      <w:rFonts w:hint="eastAsia"/>
                    </w:rPr>
                    <w:t>合同完成数÷总数×</w:t>
                  </w:r>
                  <w:r>
                    <w:t>100%</w:t>
                  </w:r>
                </w:p>
                <w:p>
                  <w:pPr>
                    <w:spacing w:line="240" w:lineRule="exact"/>
                  </w:pPr>
                </w:p>
              </w:tc>
              <w:tc>
                <w:tcPr>
                  <w:tcW w:w="3315" w:type="dxa"/>
                </w:tcPr>
                <w:p>
                  <w:pPr>
                    <w:spacing w:line="240" w:lineRule="exact"/>
                  </w:pPr>
                  <w:r>
                    <w:rPr>
                      <w:rFonts w:hint="eastAsia"/>
                    </w:rPr>
                    <w:t>合同履约率100%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50" w:type="dxa"/>
                  <w:vMerge w:val="continue"/>
                </w:tcPr>
                <w:p>
                  <w:pPr>
                    <w:spacing w:line="240" w:lineRule="exact"/>
                  </w:pPr>
                </w:p>
              </w:tc>
              <w:tc>
                <w:tcPr>
                  <w:tcW w:w="4335" w:type="dxa"/>
                </w:tcPr>
                <w:p>
                  <w:pPr>
                    <w:spacing w:line="240" w:lineRule="exact"/>
                  </w:pPr>
                  <w:r>
                    <w:rPr>
                      <w:rFonts w:hint="eastAsia"/>
                    </w:rPr>
                    <w:t>交货及时率95% 以上</w:t>
                  </w:r>
                </w:p>
              </w:tc>
              <w:tc>
                <w:tcPr>
                  <w:tcW w:w="4680" w:type="dxa"/>
                </w:tcPr>
                <w:p>
                  <w:pPr>
                    <w:spacing w:line="240" w:lineRule="exact"/>
                  </w:pPr>
                  <w:r>
                    <w:rPr>
                      <w:rFonts w:hint="eastAsia"/>
                    </w:rPr>
                    <w:t>交货及时率=当季交货及时数÷交货总次数×100%</w:t>
                  </w:r>
                </w:p>
              </w:tc>
              <w:tc>
                <w:tcPr>
                  <w:tcW w:w="3315" w:type="dxa"/>
                </w:tcPr>
                <w:p>
                  <w:pPr>
                    <w:spacing w:line="240" w:lineRule="exact"/>
                  </w:pPr>
                  <w:r>
                    <w:rPr>
                      <w:rFonts w:hint="eastAsia"/>
                    </w:rPr>
                    <w:t>交货及时率为95%；（7÷7）×100%=100%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tcPr>
                <w:p>
                  <w:pPr>
                    <w:spacing w:line="240" w:lineRule="exact"/>
                  </w:pPr>
                </w:p>
              </w:tc>
              <w:tc>
                <w:tcPr>
                  <w:tcW w:w="4335" w:type="dxa"/>
                </w:tcPr>
                <w:p>
                  <w:pPr>
                    <w:spacing w:line="240" w:lineRule="exact"/>
                  </w:pPr>
                  <w:r>
                    <w:rPr>
                      <w:rFonts w:hint="eastAsia"/>
                    </w:rPr>
                    <w:t>顾客满意度达92分以上</w:t>
                  </w:r>
                </w:p>
              </w:tc>
              <w:tc>
                <w:tcPr>
                  <w:tcW w:w="4680" w:type="dxa"/>
                </w:tcPr>
                <w:p>
                  <w:pPr>
                    <w:spacing w:line="240" w:lineRule="exact"/>
                  </w:pPr>
                  <w:r>
                    <w:rPr>
                      <w:rFonts w:hint="eastAsia"/>
                    </w:rPr>
                    <w:t>执行顾客满意度调查分析</w:t>
                  </w:r>
                </w:p>
                <w:p>
                  <w:pPr>
                    <w:spacing w:line="240" w:lineRule="exact"/>
                  </w:pPr>
                  <w:r>
                    <w:rPr>
                      <w:rFonts w:hint="eastAsia"/>
                    </w:rPr>
                    <w:t>评定数÷总数×</w:t>
                  </w:r>
                  <w:r>
                    <w:t>100%</w:t>
                  </w:r>
                </w:p>
              </w:tc>
              <w:tc>
                <w:tcPr>
                  <w:tcW w:w="3315" w:type="dxa"/>
                </w:tcPr>
                <w:p>
                  <w:pPr>
                    <w:spacing w:line="240" w:lineRule="exact"/>
                  </w:pPr>
                  <w:r>
                    <w:rPr>
                      <w:rFonts w:hint="eastAsia"/>
                    </w:rPr>
                    <w:t>顾客满意度99分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tcPr>
                <w:p>
                  <w:pPr>
                    <w:spacing w:line="240" w:lineRule="exact"/>
                  </w:pPr>
                </w:p>
              </w:tc>
              <w:tc>
                <w:tcPr>
                  <w:tcW w:w="4335" w:type="dxa"/>
                </w:tcPr>
                <w:p>
                  <w:pPr>
                    <w:spacing w:line="240" w:lineRule="exact"/>
                  </w:pPr>
                  <w:r>
                    <w:rPr>
                      <w:rFonts w:hint="eastAsia"/>
                    </w:rPr>
                    <w:t>固废分类处置率100%</w:t>
                  </w:r>
                </w:p>
              </w:tc>
              <w:tc>
                <w:tcPr>
                  <w:tcW w:w="4680" w:type="dxa"/>
                </w:tcPr>
                <w:p>
                  <w:pPr>
                    <w:spacing w:line="240" w:lineRule="exact"/>
                  </w:pPr>
                  <w:r>
                    <w:rPr>
                      <w:rFonts w:hint="eastAsia"/>
                    </w:rPr>
                    <w:t>符合数量÷检查数量×</w:t>
                  </w:r>
                  <w:r>
                    <w:t>100%</w:t>
                  </w:r>
                  <w:r>
                    <w:rPr>
                      <w:rFonts w:hint="eastAsia"/>
                    </w:rPr>
                    <w:t>。</w:t>
                  </w:r>
                </w:p>
              </w:tc>
              <w:tc>
                <w:tcPr>
                  <w:tcW w:w="3315" w:type="dxa"/>
                </w:tcPr>
                <w:p>
                  <w:pPr>
                    <w:spacing w:line="240" w:lineRule="exact"/>
                  </w:pPr>
                  <w:r>
                    <w:rPr>
                      <w:rFonts w:hint="eastAsia"/>
                    </w:rPr>
                    <w:t>固废分类处置率1</w:t>
                  </w:r>
                  <w:r>
                    <w:t>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tcPr>
                <w:p>
                  <w:pPr>
                    <w:spacing w:line="240" w:lineRule="exact"/>
                  </w:pPr>
                </w:p>
              </w:tc>
              <w:tc>
                <w:tcPr>
                  <w:tcW w:w="4335" w:type="dxa"/>
                </w:tcPr>
                <w:p>
                  <w:pPr>
                    <w:spacing w:line="240" w:lineRule="exact"/>
                  </w:pPr>
                  <w:r>
                    <w:rPr>
                      <w:rFonts w:hint="eastAsia"/>
                    </w:rPr>
                    <w:t>火灾事故未0；</w:t>
                  </w:r>
                  <w:r>
                    <w:rPr>
                      <w:rFonts w:hint="eastAsia"/>
                      <w:b w:val="0"/>
                      <w:bCs/>
                      <w:color w:val="FF0000"/>
                      <w:sz w:val="20"/>
                      <w:lang w:val="en-US" w:eastAsia="zh-CN"/>
                    </w:rPr>
                    <w:t>中毒和意外伤害</w:t>
                  </w:r>
                  <w:r>
                    <w:rPr>
                      <w:rFonts w:hint="eastAsia"/>
                    </w:rPr>
                    <w:t>为零</w:t>
                  </w:r>
                </w:p>
              </w:tc>
              <w:tc>
                <w:tcPr>
                  <w:tcW w:w="4680" w:type="dxa"/>
                </w:tcPr>
                <w:p>
                  <w:pPr>
                    <w:spacing w:line="240" w:lineRule="exact"/>
                  </w:pPr>
                  <w:r>
                    <w:rPr>
                      <w:rFonts w:hint="eastAsia"/>
                    </w:rPr>
                    <w:t>查看事故记录</w:t>
                  </w:r>
                </w:p>
              </w:tc>
              <w:tc>
                <w:tcPr>
                  <w:tcW w:w="3315" w:type="dxa"/>
                </w:tcPr>
                <w:p>
                  <w:pPr>
                    <w:spacing w:line="240" w:lineRule="exact"/>
                  </w:pPr>
                  <w:r>
                    <w:rPr>
                      <w:rFonts w:hint="eastAsia"/>
                    </w:rPr>
                    <w:t>没有发生事故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50" w:type="dxa"/>
                  <w:vMerge w:val="restart"/>
                </w:tcPr>
                <w:p>
                  <w:pPr>
                    <w:spacing w:line="240" w:lineRule="exact"/>
                  </w:pPr>
                  <w:r>
                    <w:t>采购部</w:t>
                  </w:r>
                </w:p>
              </w:tc>
              <w:tc>
                <w:tcPr>
                  <w:tcW w:w="4335" w:type="dxa"/>
                </w:tcPr>
                <w:p>
                  <w:pPr>
                    <w:spacing w:line="240" w:lineRule="exact"/>
                  </w:pPr>
                  <w:r>
                    <w:rPr>
                      <w:rFonts w:hint="eastAsia"/>
                    </w:rPr>
                    <w:t>供方评定合格率100%</w:t>
                  </w:r>
                </w:p>
              </w:tc>
              <w:tc>
                <w:tcPr>
                  <w:tcW w:w="4680" w:type="dxa"/>
                </w:tcPr>
                <w:p>
                  <w:pPr>
                    <w:spacing w:line="240" w:lineRule="exact"/>
                  </w:pPr>
                  <w:r>
                    <w:rPr>
                      <w:rFonts w:hint="eastAsia"/>
                    </w:rPr>
                    <w:t>合格数量÷检查总数量×</w:t>
                  </w:r>
                  <w:r>
                    <w:t>100%</w:t>
                  </w:r>
                  <w:r>
                    <w:rPr>
                      <w:rFonts w:hint="eastAsia"/>
                    </w:rPr>
                    <w:t>。</w:t>
                  </w:r>
                </w:p>
                <w:p>
                  <w:pPr>
                    <w:spacing w:line="240" w:lineRule="exact"/>
                  </w:pPr>
                </w:p>
              </w:tc>
              <w:tc>
                <w:tcPr>
                  <w:tcW w:w="3315" w:type="dxa"/>
                </w:tcPr>
                <w:p>
                  <w:pPr>
                    <w:spacing w:line="240" w:lineRule="exact"/>
                  </w:pPr>
                  <w:r>
                    <w:rPr>
                      <w:rFonts w:hint="eastAsia"/>
                    </w:rPr>
                    <w:t>供方评定合格100%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50" w:type="dxa"/>
                  <w:vMerge w:val="continue"/>
                </w:tcPr>
                <w:p>
                  <w:pPr>
                    <w:spacing w:line="240" w:lineRule="exact"/>
                  </w:pPr>
                  <w:bookmarkStart w:id="0" w:name="_Hlk512436523"/>
                </w:p>
              </w:tc>
              <w:tc>
                <w:tcPr>
                  <w:tcW w:w="4335" w:type="dxa"/>
                </w:tcPr>
                <w:p>
                  <w:pPr>
                    <w:spacing w:line="240" w:lineRule="exact"/>
                  </w:pPr>
                  <w:r>
                    <w:rPr>
                      <w:rFonts w:hint="eastAsia"/>
                    </w:rPr>
                    <w:t>固废分类处置率</w:t>
                  </w:r>
                </w:p>
              </w:tc>
              <w:tc>
                <w:tcPr>
                  <w:tcW w:w="4680" w:type="dxa"/>
                </w:tcPr>
                <w:p>
                  <w:pPr>
                    <w:spacing w:line="240" w:lineRule="exact"/>
                  </w:pPr>
                  <w:r>
                    <w:rPr>
                      <w:rFonts w:hint="eastAsia"/>
                    </w:rPr>
                    <w:t>符合数量÷检查数量×</w:t>
                  </w:r>
                  <w:r>
                    <w:t>100%</w:t>
                  </w:r>
                  <w:r>
                    <w:rPr>
                      <w:rFonts w:hint="eastAsia"/>
                    </w:rPr>
                    <w:t>。</w:t>
                  </w:r>
                </w:p>
              </w:tc>
              <w:tc>
                <w:tcPr>
                  <w:tcW w:w="3315" w:type="dxa"/>
                </w:tcPr>
                <w:p>
                  <w:pPr>
                    <w:spacing w:line="240" w:lineRule="exact"/>
                  </w:pPr>
                  <w:r>
                    <w:rPr>
                      <w:rFonts w:hint="eastAsia"/>
                    </w:rPr>
                    <w:t>固废分类处置率100%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50" w:type="dxa"/>
                  <w:vMerge w:val="continue"/>
                </w:tcPr>
                <w:p>
                  <w:pPr>
                    <w:spacing w:line="240" w:lineRule="exact"/>
                  </w:pPr>
                </w:p>
              </w:tc>
              <w:tc>
                <w:tcPr>
                  <w:tcW w:w="4335" w:type="dxa"/>
                </w:tcPr>
                <w:p>
                  <w:pPr>
                    <w:spacing w:line="240" w:lineRule="exact"/>
                  </w:pPr>
                  <w:r>
                    <w:rPr>
                      <w:rFonts w:hint="eastAsia"/>
                    </w:rPr>
                    <w:t>火灾事故未0；</w:t>
                  </w:r>
                  <w:r>
                    <w:rPr>
                      <w:rFonts w:hint="eastAsia"/>
                      <w:b w:val="0"/>
                      <w:bCs/>
                      <w:color w:val="FF0000"/>
                      <w:sz w:val="20"/>
                      <w:lang w:val="en-US" w:eastAsia="zh-CN"/>
                    </w:rPr>
                    <w:t>中毒和意外伤害</w:t>
                  </w:r>
                  <w:bookmarkStart w:id="1" w:name="_GoBack"/>
                  <w:bookmarkEnd w:id="1"/>
                  <w:r>
                    <w:rPr>
                      <w:rFonts w:hint="eastAsia"/>
                    </w:rPr>
                    <w:t>为零</w:t>
                  </w:r>
                </w:p>
              </w:tc>
              <w:tc>
                <w:tcPr>
                  <w:tcW w:w="4680" w:type="dxa"/>
                </w:tcPr>
                <w:p>
                  <w:pPr>
                    <w:spacing w:line="240" w:lineRule="exact"/>
                  </w:pPr>
                  <w:r>
                    <w:rPr>
                      <w:rFonts w:hint="eastAsia"/>
                    </w:rPr>
                    <w:t>查看事故记录</w:t>
                  </w:r>
                </w:p>
              </w:tc>
              <w:tc>
                <w:tcPr>
                  <w:tcW w:w="3315" w:type="dxa"/>
                </w:tcPr>
                <w:p>
                  <w:pPr>
                    <w:spacing w:line="240" w:lineRule="exact"/>
                  </w:pPr>
                  <w:r>
                    <w:rPr>
                      <w:rFonts w:hint="eastAsia"/>
                    </w:rPr>
                    <w:t>没有发生事故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50" w:type="dxa"/>
                  <w:vMerge w:val="continue"/>
                </w:tcPr>
                <w:p>
                  <w:pPr>
                    <w:spacing w:line="240" w:lineRule="exact"/>
                  </w:pPr>
                </w:p>
              </w:tc>
              <w:tc>
                <w:tcPr>
                  <w:tcW w:w="4335" w:type="dxa"/>
                </w:tcPr>
                <w:p>
                  <w:pPr>
                    <w:spacing w:line="240" w:lineRule="exact"/>
                  </w:pPr>
                  <w:r>
                    <w:rPr>
                      <w:rFonts w:hint="eastAsia"/>
                    </w:rPr>
                    <w:t>采购及时率达100%</w:t>
                  </w:r>
                </w:p>
              </w:tc>
              <w:tc>
                <w:tcPr>
                  <w:tcW w:w="4680" w:type="dxa"/>
                </w:tcPr>
                <w:p>
                  <w:pPr>
                    <w:spacing w:line="240" w:lineRule="exact"/>
                  </w:pPr>
                  <w:r>
                    <w:rPr>
                      <w:rFonts w:hint="eastAsia"/>
                    </w:rPr>
                    <w:t>采购到货数量÷采购订单数量×100%</w:t>
                  </w:r>
                </w:p>
              </w:tc>
              <w:tc>
                <w:tcPr>
                  <w:tcW w:w="3315" w:type="dxa"/>
                </w:tcPr>
                <w:p>
                  <w:pPr>
                    <w:spacing w:line="240" w:lineRule="exact"/>
                  </w:pPr>
                  <w:r>
                    <w:rPr>
                      <w:rFonts w:hint="eastAsia"/>
                    </w:rPr>
                    <w:t>采购及时率100%</w:t>
                  </w:r>
                </w:p>
              </w:tc>
            </w:tr>
            <w:bookmarkEnd w:id="0"/>
          </w:tbl>
          <w:p>
            <w:pPr>
              <w:spacing w:beforeLines="30" w:afterLines="30" w:line="288" w:lineRule="auto"/>
              <w:ind w:firstLine="480" w:firstLineChars="200"/>
              <w:rPr>
                <w:rFonts w:eastAsiaTheme="minorEastAsia"/>
                <w:sz w:val="24"/>
                <w:szCs w:val="24"/>
              </w:rPr>
            </w:pP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资源</w:t>
            </w:r>
          </w:p>
        </w:tc>
        <w:tc>
          <w:tcPr>
            <w:tcW w:w="1311" w:type="dxa"/>
            <w:vAlign w:val="center"/>
          </w:tcPr>
          <w:p>
            <w:pPr>
              <w:spacing w:line="480" w:lineRule="exact"/>
              <w:rPr>
                <w:rFonts w:eastAsiaTheme="minorEastAsia"/>
                <w:sz w:val="24"/>
                <w:szCs w:val="24"/>
              </w:rPr>
            </w:pPr>
            <w:r>
              <w:rPr>
                <w:rFonts w:hAnsiTheme="minorEastAsia" w:eastAsiaTheme="minorEastAsia"/>
                <w:sz w:val="24"/>
                <w:szCs w:val="24"/>
              </w:rPr>
              <w:t>O：</w:t>
            </w:r>
            <w:r>
              <w:rPr>
                <w:rFonts w:eastAsiaTheme="minorEastAsia"/>
                <w:sz w:val="24"/>
                <w:szCs w:val="24"/>
              </w:rPr>
              <w:t>7.1</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总经理主持了今年的管理评审，对方针、目标的适宜性进行了评审，协助管代进行了内审，确保所需资源得到满足。</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为确保公司环保、安全资金得得以保障，公司每年制定专门预算，及时提供有关资金，确保本公司各项资金及时到位，保证环保、安全活动得到实施，达到预防污染、安全第一的活动目的。通过观察组织的</w:t>
            </w:r>
            <w:r>
              <w:rPr>
                <w:rFonts w:hint="eastAsia" w:hAnsiTheme="minorEastAsia" w:eastAsiaTheme="minorEastAsia"/>
                <w:sz w:val="24"/>
                <w:szCs w:val="24"/>
              </w:rPr>
              <w:t>通过观察组织的办公设备有台式电脑、办公桌椅、投影仪、打印机、固定电话、搬运手推车等。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公司目前的基础设施，能够满足当前三体系的要求。公司将依据经营发展的需要，会不断补充与增加。</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信息交流、沟通、</w:t>
            </w:r>
          </w:p>
          <w:p>
            <w:pPr>
              <w:spacing w:line="480" w:lineRule="exact"/>
              <w:rPr>
                <w:rFonts w:eastAsiaTheme="minorEastAsia"/>
                <w:sz w:val="24"/>
                <w:szCs w:val="24"/>
              </w:rPr>
            </w:pPr>
            <w:r>
              <w:rPr>
                <w:rFonts w:hAnsiTheme="minorEastAsia" w:eastAsiaTheme="minorEastAsia"/>
                <w:sz w:val="24"/>
                <w:szCs w:val="24"/>
              </w:rPr>
              <w:t>协商与参与、安全事务代表</w:t>
            </w:r>
          </w:p>
        </w:tc>
        <w:tc>
          <w:tcPr>
            <w:tcW w:w="1311" w:type="dxa"/>
            <w:vAlign w:val="center"/>
          </w:tcPr>
          <w:p>
            <w:pPr>
              <w:spacing w:line="480" w:lineRule="exact"/>
              <w:rPr>
                <w:rFonts w:eastAsiaTheme="minorEastAsia"/>
                <w:sz w:val="24"/>
                <w:szCs w:val="24"/>
              </w:rPr>
            </w:pPr>
            <w:r>
              <w:rPr>
                <w:rFonts w:hAnsiTheme="minorEastAsia" w:eastAsiaTheme="minorEastAsia"/>
                <w:sz w:val="24"/>
                <w:szCs w:val="24"/>
              </w:rPr>
              <w:t>O：</w:t>
            </w:r>
            <w:r>
              <w:rPr>
                <w:rFonts w:eastAsiaTheme="minorEastAsia"/>
                <w:sz w:val="24"/>
                <w:szCs w:val="24"/>
              </w:rPr>
              <w:t xml:space="preserve">7.4  </w:t>
            </w:r>
          </w:p>
          <w:p>
            <w:pPr>
              <w:spacing w:line="480" w:lineRule="exact"/>
              <w:rPr>
                <w:rFonts w:eastAsiaTheme="minorEastAsia"/>
                <w:sz w:val="24"/>
                <w:szCs w:val="24"/>
              </w:rPr>
            </w:pPr>
            <w:r>
              <w:rPr>
                <w:rFonts w:hint="eastAsia" w:eastAsiaTheme="minorEastAsia"/>
                <w:sz w:val="24"/>
                <w:szCs w:val="24"/>
              </w:rPr>
              <w:t>O：5.4</w:t>
            </w:r>
          </w:p>
          <w:p>
            <w:pPr>
              <w:spacing w:line="480" w:lineRule="exact"/>
              <w:rPr>
                <w:rFonts w:eastAsiaTheme="minorEastAsia"/>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组织在各部门之间建立了与体系有关的信息通渠沟道，借助于会议、电话、口头交流等方式使全体员工达到沟通和理解。目前各部门协调一致，工作基本理顺。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总经理彭桂福定期主持经营办公例会，分析公司的发展、市场情况和体系运行是否有效，管理目标完成情况，满足顾客要求和法规程度，改进建议等内部管理存在问题等。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总经理彭桂福为协商、参与提供了时间、机会、培训、资源等保障，明确了沟通、协商、参与渠道，消除了障碍和壁垒。</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代宋国嵩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现场查见会议记录、通知通报、培训记录、文件签收等组织内部培训方式相关记录。</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经交流：目前与环保、劳动、消防、安监部门的信息交流主要是参加会议、接收来文、电话、邮件等，均按要求予以传达和落实，沟通情况较好。</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相关人员能够适当参与并协商办理公司经营管理及安全事务等工作。</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公司经选举确定职业健康安全事务代表是李强，其主要职责为</w:t>
            </w:r>
            <w:r>
              <w:rPr>
                <w:rFonts w:eastAsiaTheme="minorEastAsia"/>
                <w:sz w:val="24"/>
                <w:szCs w:val="24"/>
              </w:rPr>
              <w:t>a</w:t>
            </w:r>
            <w:r>
              <w:rPr>
                <w:rFonts w:hAnsiTheme="minorEastAsia" w:eastAsiaTheme="minorEastAsia"/>
                <w:sz w:val="24"/>
                <w:szCs w:val="24"/>
              </w:rPr>
              <w:t>）负责职工代表大会的日常工作，检查、督促职工代表大会决议的执行；</w:t>
            </w:r>
            <w:r>
              <w:rPr>
                <w:rFonts w:eastAsiaTheme="minorEastAsia"/>
                <w:sz w:val="24"/>
                <w:szCs w:val="24"/>
              </w:rPr>
              <w:t>b</w:t>
            </w:r>
            <w:r>
              <w:rPr>
                <w:rFonts w:hAnsiTheme="minorEastAsia" w:eastAsiaTheme="minorEastAsia"/>
                <w:sz w:val="24"/>
                <w:szCs w:val="24"/>
              </w:rPr>
              <w:t>）负责召开讨论有关工资、福利、劳动安全卫生、社会保险等涉及职工切身利益的会议，代表员工反映员工的建议和意见；</w:t>
            </w:r>
            <w:r>
              <w:rPr>
                <w:rFonts w:eastAsiaTheme="minorEastAsia"/>
                <w:sz w:val="24"/>
                <w:szCs w:val="24"/>
              </w:rPr>
              <w:t>c</w:t>
            </w:r>
            <w:r>
              <w:rPr>
                <w:rFonts w:hAnsiTheme="minorEastAsia" w:eastAsiaTheme="minorEastAsia"/>
                <w:sz w:val="24"/>
                <w:szCs w:val="24"/>
              </w:rPr>
              <w:t>）接收、处理外部职业健康安全信息；</w:t>
            </w:r>
            <w:r>
              <w:rPr>
                <w:rFonts w:eastAsiaTheme="minorEastAsia"/>
                <w:sz w:val="24"/>
                <w:szCs w:val="24"/>
              </w:rPr>
              <w:t>d</w:t>
            </w:r>
            <w:r>
              <w:rPr>
                <w:rFonts w:hAnsiTheme="minorEastAsia" w:eastAsiaTheme="minorEastAsia"/>
                <w:sz w:val="24"/>
                <w:szCs w:val="24"/>
              </w:rPr>
              <w:t>）收集、处理和反馈员工所关心的职业健康安全问题；</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由于公司福利待遇正常发放，员工无抱怨，目前信息交流机制畅通。</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现有的沟通渠道和方法能满足要求。审核中未发现因沟通不利不及时而造成（影响）某项工作不能正常运行的情况。</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管理评审</w:t>
            </w:r>
          </w:p>
        </w:tc>
        <w:tc>
          <w:tcPr>
            <w:tcW w:w="1311" w:type="dxa"/>
            <w:vAlign w:val="center"/>
          </w:tcPr>
          <w:p>
            <w:pPr>
              <w:spacing w:line="360" w:lineRule="auto"/>
              <w:rPr>
                <w:rFonts w:eastAsiaTheme="minorEastAsia"/>
                <w:sz w:val="24"/>
                <w:szCs w:val="24"/>
              </w:rPr>
            </w:pPr>
            <w:r>
              <w:rPr>
                <w:rFonts w:hAnsiTheme="minorEastAsia" w:eastAsiaTheme="minorEastAsia"/>
                <w:sz w:val="24"/>
                <w:szCs w:val="24"/>
              </w:rPr>
              <w:t>O：</w:t>
            </w:r>
            <w:r>
              <w:rPr>
                <w:rFonts w:eastAsiaTheme="minorEastAsia"/>
                <w:sz w:val="24"/>
                <w:szCs w:val="24"/>
              </w:rPr>
              <w:t xml:space="preserve">9.3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查看《管理评审程序》，基本符合要求。</w:t>
            </w:r>
            <w:r>
              <w:rPr>
                <w:rFonts w:eastAsiaTheme="minorEastAsia"/>
                <w:sz w:val="24"/>
                <w:szCs w:val="24"/>
              </w:rPr>
              <w:t>2020.</w:t>
            </w:r>
            <w:r>
              <w:rPr>
                <w:rFonts w:hint="eastAsia" w:eastAsiaTheme="minorEastAsia"/>
                <w:sz w:val="24"/>
                <w:szCs w:val="24"/>
              </w:rPr>
              <w:t>4</w:t>
            </w:r>
            <w:r>
              <w:rPr>
                <w:rFonts w:eastAsiaTheme="minorEastAsia"/>
                <w:sz w:val="24"/>
                <w:szCs w:val="24"/>
              </w:rPr>
              <w:t>.</w:t>
            </w:r>
            <w:r>
              <w:rPr>
                <w:rFonts w:hint="eastAsia" w:eastAsiaTheme="minorEastAsia"/>
                <w:sz w:val="24"/>
                <w:szCs w:val="24"/>
              </w:rPr>
              <w:t>30</w:t>
            </w:r>
            <w:r>
              <w:rPr>
                <w:rFonts w:hAnsiTheme="minorEastAsia" w:eastAsiaTheme="minorEastAsia"/>
                <w:sz w:val="24"/>
                <w:szCs w:val="24"/>
              </w:rPr>
              <w:t>日进行了管理评审。</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w:t>
            </w:r>
            <w:r>
              <w:rPr>
                <w:rFonts w:eastAsiaTheme="minorEastAsia"/>
                <w:sz w:val="24"/>
                <w:szCs w:val="24"/>
              </w:rPr>
              <w:t>“</w:t>
            </w:r>
            <w:r>
              <w:rPr>
                <w:rFonts w:hAnsiTheme="minorEastAsia" w:eastAsiaTheme="minorEastAsia"/>
                <w:sz w:val="24"/>
                <w:szCs w:val="24"/>
              </w:rPr>
              <w:t>管理评审计划</w:t>
            </w:r>
            <w:r>
              <w:rPr>
                <w:rFonts w:eastAsiaTheme="minorEastAsia"/>
                <w:sz w:val="24"/>
                <w:szCs w:val="24"/>
              </w:rPr>
              <w:t>”</w:t>
            </w:r>
            <w:r>
              <w:rPr>
                <w:rFonts w:hAnsiTheme="minorEastAsia" w:eastAsiaTheme="minorEastAsia"/>
                <w:sz w:val="24"/>
                <w:szCs w:val="24"/>
              </w:rPr>
              <w:t>，由彭桂福签发；内容包括；评审目的、评审时间、参加部门人员、评审输入内容等。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管理评审输入</w:t>
            </w:r>
            <w:r>
              <w:rPr>
                <w:rFonts w:eastAsiaTheme="minorEastAsia"/>
                <w:sz w:val="24"/>
                <w:szCs w:val="24"/>
              </w:rPr>
              <w:t>:</w:t>
            </w:r>
            <w:r>
              <w:rPr>
                <w:rFonts w:hAnsiTheme="minorEastAsia" w:eastAsia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查看了总经理批准的</w:t>
            </w:r>
            <w:r>
              <w:rPr>
                <w:rFonts w:eastAsiaTheme="minorEastAsia"/>
                <w:sz w:val="24"/>
                <w:szCs w:val="24"/>
              </w:rPr>
              <w:t>“</w:t>
            </w:r>
            <w:r>
              <w:rPr>
                <w:rFonts w:hAnsiTheme="minorEastAsia" w:eastAsiaTheme="minorEastAsia"/>
                <w:sz w:val="24"/>
                <w:szCs w:val="24"/>
              </w:rPr>
              <w:t>管理评审报告</w:t>
            </w:r>
            <w:r>
              <w:rPr>
                <w:rFonts w:eastAsiaTheme="minorEastAsia"/>
                <w:sz w:val="24"/>
                <w:szCs w:val="24"/>
              </w:rPr>
              <w:t>”</w:t>
            </w:r>
            <w:r>
              <w:rPr>
                <w:rFonts w:hAnsiTheme="minorEastAsia" w:eastAsia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Pr>
                <w:rFonts w:hint="eastAsia" w:hAnsiTheme="minorEastAsia" w:eastAsiaTheme="minorEastAsia"/>
                <w:sz w:val="24"/>
                <w:szCs w:val="24"/>
              </w:rPr>
              <w:t>自体系建立以来，公司的质量管理体系运行全面展开，通过新版的运行，收到良好的效果，经评审认为本公司的质量管理体系的建立和运行是充分的、适宜的、有效的。已具备了认证审核的条件</w:t>
            </w:r>
            <w:r>
              <w:rPr>
                <w:rFonts w:hAnsiTheme="minorEastAsia" w:eastAsiaTheme="minorEastAsia"/>
                <w:sz w:val="24"/>
                <w:szCs w:val="24"/>
              </w:rPr>
              <w:t>。提出了</w:t>
            </w:r>
            <w:r>
              <w:rPr>
                <w:rFonts w:hint="eastAsia" w:eastAsiaTheme="minorEastAsia"/>
                <w:sz w:val="24"/>
                <w:szCs w:val="24"/>
              </w:rPr>
              <w:t>2</w:t>
            </w:r>
            <w:r>
              <w:rPr>
                <w:rFonts w:hAnsiTheme="minorEastAsia" w:eastAsiaTheme="minorEastAsia"/>
                <w:sz w:val="24"/>
                <w:szCs w:val="24"/>
              </w:rPr>
              <w:t>项改进措施</w:t>
            </w:r>
            <w:r>
              <w:rPr>
                <w:rFonts w:eastAsiaTheme="minorEastAsia"/>
                <w:sz w:val="24"/>
                <w:szCs w:val="24"/>
              </w:rPr>
              <w:t>:</w:t>
            </w:r>
            <w:r>
              <w:rPr>
                <w:rFonts w:hint="eastAsia" w:eastAsiaTheme="minorEastAsia"/>
                <w:sz w:val="24"/>
                <w:szCs w:val="24"/>
              </w:rPr>
              <w:t>1）进一步组织对ISO 9001：2015、ISO 14001：2015、ISO45001：20181标准、《管理手册》、《程序文件》的学习和培训，使与管理体系有关的人员了解和掌握标准和本公司管理体系文件的内容，特别是应该提高内审员的水平和技巧；</w:t>
            </w:r>
          </w:p>
          <w:p>
            <w:pPr>
              <w:spacing w:beforeLines="30" w:afterLines="30" w:line="288" w:lineRule="auto"/>
              <w:ind w:firstLine="480" w:firstLineChars="200"/>
              <w:rPr>
                <w:rFonts w:eastAsiaTheme="minorEastAsia"/>
                <w:color w:val="000000"/>
                <w:sz w:val="24"/>
                <w:szCs w:val="24"/>
              </w:rPr>
            </w:pPr>
            <w:r>
              <w:rPr>
                <w:rFonts w:hint="eastAsia" w:eastAsiaTheme="minorEastAsia"/>
                <w:sz w:val="24"/>
                <w:szCs w:val="24"/>
              </w:rPr>
              <w:t>2）进一步组织对相关的法律、法规、规程和规范的学习，以增强广大技术人员的质量意识环境保护意识；</w:t>
            </w:r>
          </w:p>
          <w:p>
            <w:pPr>
              <w:spacing w:beforeLines="30" w:afterLines="30" w:line="288" w:lineRule="auto"/>
              <w:ind w:firstLine="480" w:firstLineChars="200"/>
              <w:jc w:val="left"/>
              <w:rPr>
                <w:rFonts w:eastAsiaTheme="minorEastAsia"/>
                <w:color w:val="000000"/>
                <w:sz w:val="24"/>
                <w:szCs w:val="24"/>
              </w:rPr>
            </w:pPr>
            <w:r>
              <w:rPr>
                <w:rFonts w:eastAsiaTheme="minorEastAsia"/>
                <w:color w:val="000000"/>
                <w:sz w:val="24"/>
                <w:szCs w:val="24"/>
              </w:rPr>
              <w:drawing>
                <wp:inline distT="0" distB="0" distL="0" distR="0">
                  <wp:extent cx="3828415" cy="2847340"/>
                  <wp:effectExtent l="19050" t="0" r="49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srcRect/>
                          <a:stretch>
                            <a:fillRect/>
                          </a:stretch>
                        </pic:blipFill>
                        <pic:spPr>
                          <a:xfrm>
                            <a:off x="0" y="0"/>
                            <a:ext cx="3832361" cy="2850454"/>
                          </a:xfrm>
                          <a:prstGeom prst="rect">
                            <a:avLst/>
                          </a:prstGeom>
                          <a:noFill/>
                          <a:ln w="9525">
                            <a:noFill/>
                            <a:miter lim="800000"/>
                            <a:headEnd/>
                            <a:tailEnd/>
                          </a:ln>
                        </pic:spPr>
                      </pic:pic>
                    </a:graphicData>
                  </a:graphic>
                </wp:inline>
              </w:drawing>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管理评审的策划及实施符合要求。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改进</w:t>
            </w:r>
          </w:p>
          <w:p>
            <w:pPr>
              <w:spacing w:line="360" w:lineRule="auto"/>
              <w:rPr>
                <w:rFonts w:eastAsiaTheme="minorEastAsia"/>
                <w:sz w:val="24"/>
                <w:szCs w:val="24"/>
              </w:rPr>
            </w:pPr>
          </w:p>
        </w:tc>
        <w:tc>
          <w:tcPr>
            <w:tcW w:w="1311" w:type="dxa"/>
            <w:vAlign w:val="center"/>
          </w:tcPr>
          <w:p>
            <w:pPr>
              <w:spacing w:line="360" w:lineRule="auto"/>
              <w:rPr>
                <w:rFonts w:eastAsiaTheme="minorEastAsia"/>
                <w:sz w:val="24"/>
                <w:szCs w:val="24"/>
              </w:rPr>
            </w:pPr>
            <w:r>
              <w:rPr>
                <w:rFonts w:hAnsiTheme="minorEastAsia" w:eastAsiaTheme="minorEastAsia"/>
                <w:sz w:val="24"/>
                <w:szCs w:val="24"/>
              </w:rPr>
              <w:t>O：</w:t>
            </w:r>
            <w:r>
              <w:rPr>
                <w:rFonts w:eastAsiaTheme="minorEastAsia"/>
                <w:sz w:val="24"/>
                <w:szCs w:val="24"/>
              </w:rPr>
              <w:t>10.1</w:t>
            </w:r>
            <w:r>
              <w:rPr>
                <w:rFonts w:hAnsiTheme="minorEastAsia" w:eastAsiaTheme="minorEastAsia"/>
                <w:sz w:val="24"/>
                <w:szCs w:val="24"/>
              </w:rPr>
              <w:t>、</w:t>
            </w:r>
            <w:r>
              <w:rPr>
                <w:rFonts w:eastAsiaTheme="minorEastAsia"/>
                <w:sz w:val="24"/>
                <w:szCs w:val="24"/>
              </w:rPr>
              <w:t>10.3</w:t>
            </w:r>
          </w:p>
          <w:p>
            <w:pPr>
              <w:spacing w:line="360" w:lineRule="auto"/>
              <w:rPr>
                <w:rFonts w:eastAsiaTheme="minorEastAsia"/>
                <w:sz w:val="24"/>
                <w:szCs w:val="24"/>
              </w:rPr>
            </w:pPr>
          </w:p>
        </w:tc>
        <w:tc>
          <w:tcPr>
            <w:tcW w:w="10004" w:type="dxa"/>
            <w:vAlign w:val="center"/>
          </w:tcPr>
          <w:p>
            <w:pPr>
              <w:snapToGrid w:val="0"/>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管理者代表根据总经理意图组织持续改进过程的策划工作，由综合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09" w:type="dxa"/>
          </w:tcPr>
          <w:p>
            <w:pPr>
              <w:spacing w:line="400" w:lineRule="exact"/>
              <w:rPr>
                <w:rFonts w:eastAsiaTheme="minorEastAsia"/>
                <w:sz w:val="24"/>
                <w:szCs w:val="24"/>
              </w:rPr>
            </w:pPr>
            <w:r>
              <w:rPr>
                <w:rFonts w:hAnsiTheme="minorEastAsia" w:eastAsiaTheme="minorEastAsia"/>
                <w:sz w:val="24"/>
                <w:szCs w:val="24"/>
              </w:rPr>
              <w:t>国家</w:t>
            </w:r>
            <w:r>
              <w:rPr>
                <w:rFonts w:eastAsiaTheme="minorEastAsia"/>
                <w:sz w:val="24"/>
                <w:szCs w:val="24"/>
              </w:rPr>
              <w:t>/</w:t>
            </w:r>
            <w:r>
              <w:rPr>
                <w:rFonts w:hAnsiTheme="minorEastAsia" w:eastAsiaTheme="minorEastAsia"/>
                <w:sz w:val="24"/>
                <w:szCs w:val="24"/>
              </w:rPr>
              <w:t>地方抽查、顾客满意、相关方投诉处理</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自公司成立以来，未受到上级主管部门有关质量、环境问题、职业健康安全的行政处罚。未发生相关方的投诉。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暂时没有国家</w:t>
            </w:r>
            <w:r>
              <w:rPr>
                <w:rFonts w:eastAsiaTheme="minorEastAsia"/>
                <w:sz w:val="24"/>
                <w:szCs w:val="24"/>
              </w:rPr>
              <w:t>/</w:t>
            </w:r>
            <w:r>
              <w:rPr>
                <w:rFonts w:hAnsiTheme="minorEastAsia" w:eastAsiaTheme="minorEastAsia"/>
                <w:sz w:val="24"/>
                <w:szCs w:val="24"/>
              </w:rPr>
              <w:t>地方抽查情况。</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目前没有相关行政主管部门的检查处罚，在审核现场也未发现抽查、相关方投诉等情况。</w:t>
            </w:r>
          </w:p>
        </w:tc>
        <w:tc>
          <w:tcPr>
            <w:tcW w:w="1585"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9" w:type="dxa"/>
          </w:tcPr>
          <w:p>
            <w:pPr>
              <w:spacing w:line="400" w:lineRule="exact"/>
              <w:rPr>
                <w:rFonts w:eastAsiaTheme="minorEastAsia"/>
                <w:sz w:val="24"/>
                <w:szCs w:val="24"/>
              </w:rPr>
            </w:pPr>
            <w:r>
              <w:rPr>
                <w:rFonts w:hAnsiTheme="minorEastAsia" w:eastAsiaTheme="minorEastAsia"/>
                <w:sz w:val="24"/>
                <w:szCs w:val="24"/>
              </w:rPr>
              <w:t>验证资质</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提供了组织营业执照均为有效。</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400" w:lineRule="exact"/>
              <w:rPr>
                <w:rFonts w:eastAsiaTheme="minorEastAsia"/>
                <w:sz w:val="24"/>
                <w:szCs w:val="24"/>
              </w:rPr>
            </w:pPr>
            <w:r>
              <w:rPr>
                <w:rFonts w:hAnsiTheme="minorEastAsia" w:eastAsiaTheme="minorEastAsia"/>
                <w:sz w:val="24"/>
                <w:szCs w:val="24"/>
              </w:rPr>
              <w:t>一阶段问题验证</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一阶段审核时发现的问题，经现场验证已关闭，整改措施有效。</w:t>
            </w:r>
          </w:p>
        </w:tc>
        <w:tc>
          <w:tcPr>
            <w:tcW w:w="1585" w:type="dxa"/>
          </w:tcPr>
          <w:p>
            <w:pPr>
              <w:spacing w:line="360" w:lineRule="auto"/>
              <w:rPr>
                <w:rFonts w:eastAsiaTheme="minorEastAsia"/>
                <w:sz w:val="24"/>
                <w:szCs w:val="24"/>
              </w:rPr>
            </w:pPr>
            <w:r>
              <w:rPr>
                <w:rFonts w:eastAsiaTheme="minorEastAsia"/>
                <w:sz w:val="24"/>
                <w:szCs w:val="24"/>
              </w:rPr>
              <w:t>合格</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040C"/>
    <w:rsid w:val="000179DB"/>
    <w:rsid w:val="00027CFD"/>
    <w:rsid w:val="00216D0F"/>
    <w:rsid w:val="002453E0"/>
    <w:rsid w:val="002F554B"/>
    <w:rsid w:val="003254EE"/>
    <w:rsid w:val="003B6B18"/>
    <w:rsid w:val="003D25D2"/>
    <w:rsid w:val="004354F2"/>
    <w:rsid w:val="004D58AA"/>
    <w:rsid w:val="00537A14"/>
    <w:rsid w:val="0055317A"/>
    <w:rsid w:val="005C040C"/>
    <w:rsid w:val="005C2CC2"/>
    <w:rsid w:val="00607106"/>
    <w:rsid w:val="00615BD7"/>
    <w:rsid w:val="006567D0"/>
    <w:rsid w:val="007D12E6"/>
    <w:rsid w:val="007F23D6"/>
    <w:rsid w:val="007F62A0"/>
    <w:rsid w:val="008B13D5"/>
    <w:rsid w:val="008B394B"/>
    <w:rsid w:val="008B4944"/>
    <w:rsid w:val="008D6E91"/>
    <w:rsid w:val="008E0CBF"/>
    <w:rsid w:val="008E5236"/>
    <w:rsid w:val="009C6CE5"/>
    <w:rsid w:val="00A143B6"/>
    <w:rsid w:val="00A23916"/>
    <w:rsid w:val="00A31BAA"/>
    <w:rsid w:val="00AD0913"/>
    <w:rsid w:val="00B20739"/>
    <w:rsid w:val="00B555F2"/>
    <w:rsid w:val="00BC5B55"/>
    <w:rsid w:val="00CF62F2"/>
    <w:rsid w:val="00D050A8"/>
    <w:rsid w:val="00D10ACD"/>
    <w:rsid w:val="00D572DD"/>
    <w:rsid w:val="00D61BE1"/>
    <w:rsid w:val="00DC08CB"/>
    <w:rsid w:val="00E15843"/>
    <w:rsid w:val="00E34B66"/>
    <w:rsid w:val="00E92D77"/>
    <w:rsid w:val="00EA40CD"/>
    <w:rsid w:val="00ED7AC6"/>
    <w:rsid w:val="00F7678E"/>
    <w:rsid w:val="2A5919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rFonts w:ascii="Times New Roman" w:hAnsi="Times New Roman" w:eastAsia="宋体" w:cs="Times New Roman"/>
      <w:sz w:val="18"/>
      <w:szCs w:val="18"/>
    </w:rPr>
  </w:style>
  <w:style w:type="character" w:customStyle="1" w:styleId="9">
    <w:name w:val="页脚 Char"/>
    <w:basedOn w:val="7"/>
    <w:link w:val="3"/>
    <w:uiPriority w:val="99"/>
    <w:rPr>
      <w:rFonts w:ascii="Times New Roman" w:hAnsi="Times New Roman" w:eastAsia="宋体" w:cs="Times New Roman"/>
      <w:sz w:val="18"/>
      <w:szCs w:val="18"/>
    </w:rPr>
  </w:style>
  <w:style w:type="character" w:customStyle="1" w:styleId="10">
    <w:name w:val="批注框文本 Char"/>
    <w:basedOn w:val="7"/>
    <w:link w:val="2"/>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972</Words>
  <Characters>5544</Characters>
  <Lines>46</Lines>
  <Paragraphs>13</Paragraphs>
  <TotalTime>0</TotalTime>
  <ScaleCrop>false</ScaleCrop>
  <LinksUpToDate>false</LinksUpToDate>
  <CharactersWithSpaces>6503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2020-07-02T06:43:32Z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