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960"/>
        <w:gridCol w:w="744"/>
        <w:gridCol w:w="926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color w:val="000000" w:themeColor="text1"/>
                <w:sz w:val="24"/>
                <w:szCs w:val="24"/>
              </w:rPr>
              <w:t>陪同人员：</w:t>
            </w:r>
            <w:r>
              <w:rPr>
                <w:rFonts w:hint="eastAsia"/>
                <w:kern w:val="0"/>
                <w:sz w:val="22"/>
              </w:rPr>
              <w:t>吴哲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sz w:val="24"/>
                <w:szCs w:val="24"/>
                <w:lang w:val="en-US" w:eastAsia="zh-CN"/>
              </w:rPr>
            </w:pPr>
            <w:r>
              <w:rPr>
                <w:rFonts w:hint="eastAsia"/>
                <w:sz w:val="24"/>
                <w:szCs w:val="24"/>
              </w:rPr>
              <w:t>审核员： 郝本东、李青</w:t>
            </w:r>
            <w:r>
              <w:rPr>
                <w:rFonts w:hint="eastAsia"/>
                <w:sz w:val="24"/>
                <w:szCs w:val="24"/>
                <w:lang w:eastAsia="zh-CN"/>
              </w:rPr>
              <w:t>（</w:t>
            </w:r>
            <w:r>
              <w:rPr>
                <w:rFonts w:hint="eastAsia"/>
                <w:sz w:val="24"/>
                <w:szCs w:val="24"/>
                <w:lang w:val="en-US" w:eastAsia="zh-CN"/>
              </w:rPr>
              <w:t>仅远程），胡益民</w:t>
            </w:r>
            <w:bookmarkStart w:id="1" w:name="_GoBack"/>
            <w:bookmarkEnd w:id="1"/>
          </w:p>
          <w:p>
            <w:pPr>
              <w:spacing w:before="120"/>
            </w:pPr>
            <w:r>
              <w:rPr>
                <w:rFonts w:hint="eastAsia"/>
                <w:sz w:val="24"/>
                <w:szCs w:val="24"/>
              </w:rPr>
              <w:t>审核日期：2020-06-2（远程）</w:t>
            </w:r>
            <w:r>
              <w:rPr>
                <w:rFonts w:hint="eastAsia"/>
                <w:szCs w:val="22"/>
              </w:rPr>
              <w:t>2020-06-8~11（现场）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Cs w:val="21"/>
              </w:rPr>
            </w:pPr>
            <w:r>
              <w:rPr>
                <w:rFonts w:hint="eastAsia"/>
                <w:sz w:val="24"/>
                <w:szCs w:val="24"/>
              </w:rPr>
              <w:t>审核条款：</w:t>
            </w:r>
            <w:r>
              <w:rPr>
                <w:rFonts w:hint="eastAsia"/>
                <w:szCs w:val="21"/>
              </w:rPr>
              <w:t>QMS：</w:t>
            </w:r>
            <w:r>
              <w:rPr>
                <w:rFonts w:hint="eastAsia"/>
                <w:b/>
                <w:bCs/>
                <w:szCs w:val="21"/>
              </w:rPr>
              <w:t xml:space="preserve">4.1 4.2 4.3 4.4 </w:t>
            </w:r>
            <w:r>
              <w:rPr>
                <w:b/>
                <w:bCs/>
                <w:szCs w:val="21"/>
              </w:rPr>
              <w:t>5.1</w:t>
            </w:r>
            <w:r>
              <w:rPr>
                <w:rFonts w:hint="eastAsia"/>
                <w:b/>
                <w:bCs/>
                <w:szCs w:val="21"/>
              </w:rPr>
              <w:t>.1，5.1.2,</w:t>
            </w:r>
            <w:r>
              <w:rPr>
                <w:b/>
                <w:bCs/>
                <w:szCs w:val="21"/>
              </w:rPr>
              <w:t>5.2</w:t>
            </w:r>
            <w:r>
              <w:rPr>
                <w:rFonts w:hint="eastAsia"/>
                <w:b/>
                <w:bCs/>
                <w:szCs w:val="21"/>
              </w:rPr>
              <w:t xml:space="preserve">, </w:t>
            </w:r>
            <w:r>
              <w:rPr>
                <w:b/>
                <w:bCs/>
                <w:szCs w:val="21"/>
              </w:rPr>
              <w:t>5.3</w:t>
            </w:r>
            <w:r>
              <w:rPr>
                <w:rFonts w:hint="eastAsia"/>
                <w:b/>
                <w:bCs/>
                <w:szCs w:val="21"/>
              </w:rPr>
              <w:t>,6.1,6.2，</w:t>
            </w:r>
            <w:r>
              <w:rPr>
                <w:b/>
                <w:bCs/>
                <w:szCs w:val="21"/>
              </w:rPr>
              <w:t>6.3</w:t>
            </w:r>
            <w:r>
              <w:rPr>
                <w:rFonts w:hint="eastAsia"/>
                <w:b/>
                <w:bCs/>
                <w:szCs w:val="21"/>
              </w:rPr>
              <w:t>,</w:t>
            </w:r>
            <w:r>
              <w:rPr>
                <w:b/>
                <w:bCs/>
                <w:szCs w:val="21"/>
              </w:rPr>
              <w:t>7</w:t>
            </w:r>
            <w:r>
              <w:rPr>
                <w:rFonts w:hint="eastAsia"/>
                <w:b/>
                <w:bCs/>
                <w:szCs w:val="21"/>
              </w:rPr>
              <w:t>.1.1,7.1.2,</w:t>
            </w:r>
            <w:r>
              <w:rPr>
                <w:rFonts w:hint="eastAsia"/>
                <w:b/>
                <w:bCs/>
                <w:color w:val="FF0000"/>
                <w:szCs w:val="21"/>
              </w:rPr>
              <w:t>7.1.6</w:t>
            </w:r>
            <w:r>
              <w:rPr>
                <w:rFonts w:hint="eastAsia"/>
                <w:b/>
                <w:bCs/>
                <w:szCs w:val="21"/>
              </w:rPr>
              <w:t>7.3,9.1.1，9.1.3，9.3，10.1,10.3</w:t>
            </w:r>
          </w:p>
          <w:p>
            <w:pPr>
              <w:tabs>
                <w:tab w:val="left" w:pos="709"/>
              </w:tabs>
              <w:ind w:right="57"/>
              <w:jc w:val="left"/>
              <w:rPr>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r>
                    <w:rPr>
                      <w:rFonts w:hint="eastAsia"/>
                    </w:rPr>
                    <w:t>外部环境</w:t>
                  </w:r>
                </w:p>
              </w:tc>
              <w:tc>
                <w:tcPr>
                  <w:tcW w:w="7662"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r>
                    <w:rPr>
                      <w:rFonts w:hint="eastAsia"/>
                    </w:rPr>
                    <w:t>列举主要的内容</w:t>
                  </w:r>
                </w:p>
              </w:tc>
              <w:tc>
                <w:tcPr>
                  <w:tcW w:w="7662" w:type="dxa"/>
                </w:tcPr>
                <w:p>
                  <w:pPr>
                    <w:spacing w:line="360" w:lineRule="auto"/>
                  </w:pPr>
                  <w:r>
                    <w:rPr>
                      <w:rFonts w:hint="eastAsia"/>
                    </w:rPr>
                    <w:t>产品销售淡季与旺季，影响顾客的采购，也间接影响公司产品生产，考虑库存。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r>
                    <w:rPr>
                      <w:rFonts w:hint="eastAsia"/>
                    </w:rPr>
                    <w:t>内部环境</w:t>
                  </w:r>
                </w:p>
              </w:tc>
              <w:tc>
                <w:tcPr>
                  <w:tcW w:w="7662" w:type="dxa"/>
                </w:tcPr>
                <w:p>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381" w:type="dxa"/>
                </w:tcPr>
                <w:p>
                  <w:r>
                    <w:rPr>
                      <w:rFonts w:hint="eastAsia"/>
                    </w:rPr>
                    <w:t>列举主要的内容</w:t>
                  </w:r>
                </w:p>
              </w:tc>
              <w:tc>
                <w:tcPr>
                  <w:tcW w:w="7662" w:type="dxa"/>
                </w:tcPr>
                <w:p>
                  <w:r>
                    <w:rPr>
                      <w:rFonts w:hint="eastAsia" w:ascii="宋体" w:hAnsi="宋体"/>
                      <w:szCs w:val="21"/>
                    </w:rPr>
                    <w:t>外来务工人员减少，招工难，用工成本增加。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r>
                    <w:rPr>
                      <w:rFonts w:hint="eastAsia"/>
                      <w:color w:val="000000"/>
                      <w:szCs w:val="21"/>
                    </w:rPr>
                    <w:t>组织优势说明</w:t>
                  </w:r>
                </w:p>
              </w:tc>
              <w:tc>
                <w:tcPr>
                  <w:tcW w:w="7662" w:type="dxa"/>
                </w:tcPr>
                <w:p>
                  <w:pPr>
                    <w:rPr>
                      <w:color w:val="1D41D5"/>
                    </w:rPr>
                  </w:pPr>
                  <w:r>
                    <w:rPr>
                      <w:rFonts w:hint="eastAsia" w:ascii="宋体" w:hAnsi="宋体"/>
                      <w:szCs w:val="21"/>
                    </w:rPr>
                    <w:t>公司负责人从事中药饮片的生产（限资质范围内）多年，加工技术可保持在部分产品的生产销售中处于领先地位</w:t>
                  </w:r>
                  <w:r>
                    <w:rPr>
                      <w:rFonts w:ascii="宋体"/>
                      <w:szCs w:val="21"/>
                    </w:rPr>
                    <w:t>,</w:t>
                  </w:r>
                  <w:r>
                    <w:rPr>
                      <w:rFonts w:hint="eastAsia" w:ascii="宋体" w:hAnsi="宋体"/>
                      <w:szCs w:val="21"/>
                    </w:rPr>
                    <w:t>可以加以利用。本公司对新产品的研发力量强，目前公司有6</w:t>
                  </w:r>
                  <w:r>
                    <w:rPr>
                      <w:rFonts w:ascii="宋体" w:hAnsi="宋体"/>
                      <w:szCs w:val="21"/>
                    </w:rPr>
                    <w:t>00</w:t>
                  </w:r>
                  <w:r>
                    <w:rPr>
                      <w:rFonts w:hint="eastAsia" w:ascii="宋体" w:hAnsi="宋体"/>
                      <w:szCs w:val="21"/>
                    </w:rPr>
                    <w:t>多种不同种类的中药产品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81" w:type="dxa"/>
                </w:tcPr>
                <w:p>
                  <w:r>
                    <w:rPr>
                      <w:rFonts w:hint="eastAsia"/>
                      <w:color w:val="000000"/>
                      <w:szCs w:val="21"/>
                    </w:rPr>
                    <w:t>组织劣势说明</w:t>
                  </w:r>
                </w:p>
              </w:tc>
              <w:tc>
                <w:tcPr>
                  <w:tcW w:w="7662" w:type="dxa"/>
                </w:tcPr>
                <w:p>
                  <w:pPr>
                    <w:rPr>
                      <w:color w:val="000000"/>
                      <w:szCs w:val="21"/>
                    </w:rPr>
                  </w:pPr>
                  <w:r>
                    <w:rPr>
                      <w:rFonts w:hint="eastAsia"/>
                      <w:color w:val="000000"/>
                      <w:szCs w:val="21"/>
                    </w:rPr>
                    <w:t xml:space="preserve">设备老化；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r>
                    <w:rPr>
                      <w:rFonts w:hint="eastAsia"/>
                      <w:color w:val="000000"/>
                      <w:szCs w:val="21"/>
                    </w:rPr>
                    <w:t>主要风险的说明</w:t>
                  </w:r>
                </w:p>
              </w:tc>
              <w:tc>
                <w:tcPr>
                  <w:tcW w:w="7662" w:type="dxa"/>
                </w:tcPr>
                <w:p>
                  <w:pPr>
                    <w:rPr>
                      <w:color w:val="000000"/>
                      <w:szCs w:val="21"/>
                    </w:rPr>
                  </w:pPr>
                  <w:r>
                    <w:rPr>
                      <w:rFonts w:hint="eastAsia"/>
                      <w:color w:val="000000"/>
                      <w:szCs w:val="21"/>
                    </w:rPr>
                    <w:t>新的竞争对手；替代产品增多；市场紧缩；行业政策变化；经济衰退；客户偏好改变；突发事件等。</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《组织内外部环境因素识别表》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《相关方需求和期望控制程序》、</w:t>
            </w:r>
            <w:r>
              <w:rPr>
                <w:rFonts w:hint="eastAsia"/>
              </w:rPr>
              <w:sym w:font="Wingdings" w:char="00FE"/>
            </w:r>
            <w:r>
              <w:rPr>
                <w:rFonts w:hint="eastAsia"/>
              </w:rPr>
              <w:t>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3805" w:type="dxa"/>
                  <w:vAlign w:val="top"/>
                </w:tcPr>
                <w:p>
                  <w:r>
                    <w:rPr>
                      <w:rFonts w:hint="eastAsia"/>
                    </w:rPr>
                    <w:t>如亳州市环境保护局</w:t>
                  </w:r>
                </w:p>
              </w:tc>
              <w:tc>
                <w:tcPr>
                  <w:tcW w:w="3625" w:type="dxa"/>
                </w:tcPr>
                <w:p>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vAlign w:val="top"/>
                </w:tcPr>
                <w:p>
                  <w:r>
                    <w:rPr>
                      <w:rFonts w:hint="eastAsia"/>
                      <w:color w:val="000000" w:themeColor="text1"/>
                    </w:rPr>
                    <w:t>例如：</w:t>
                  </w:r>
                  <w:r>
                    <w:rPr>
                      <w:rFonts w:hint="eastAsia"/>
                      <w:color w:val="000000" w:themeColor="text1"/>
                      <w:lang w:val="en-US" w:eastAsia="zh-CN"/>
                    </w:rPr>
                    <w:t>陕西孙思邈中药股份有限公司</w:t>
                  </w:r>
                </w:p>
              </w:tc>
              <w:tc>
                <w:tcPr>
                  <w:tcW w:w="3625" w:type="dxa"/>
                </w:tcPr>
                <w:p>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vAlign w:val="top"/>
                </w:tcPr>
                <w:p>
                  <w:r>
                    <w:rPr>
                      <w:rFonts w:hint="eastAsia"/>
                      <w:color w:val="000000" w:themeColor="text1"/>
                    </w:rPr>
                    <w:t>例如：</w:t>
                  </w:r>
                  <w:r>
                    <w:rPr>
                      <w:rFonts w:hint="eastAsia"/>
                      <w:color w:val="000000" w:themeColor="text1"/>
                      <w:lang w:val="en-US" w:eastAsia="zh-CN"/>
                    </w:rPr>
                    <w:t>江苏省中医院</w:t>
                  </w:r>
                </w:p>
              </w:tc>
              <w:tc>
                <w:tcPr>
                  <w:tcW w:w="3625" w:type="dxa"/>
                </w:tcPr>
                <w:p>
                  <w:r>
                    <w:rPr>
                      <w:rFonts w:hint="eastAsia"/>
                    </w:rPr>
                    <w:t>☑按时按质按量交付产品或服务；</w:t>
                  </w:r>
                </w:p>
                <w:p>
                  <w:r>
                    <w:rPr>
                      <w:rFonts w:hint="eastAsia"/>
                    </w:rPr>
                    <w:t>☑产品/服务质量持续满足要求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vAlign w:val="top"/>
                </w:tcPr>
                <w:p>
                  <w:r>
                    <w:rPr>
                      <w:rFonts w:hint="eastAsia"/>
                      <w:color w:val="000000" w:themeColor="text1"/>
                    </w:rPr>
                    <w:t>——</w:t>
                  </w:r>
                </w:p>
              </w:tc>
              <w:tc>
                <w:tcPr>
                  <w:tcW w:w="3625" w:type="dxa"/>
                </w:tcPr>
                <w:p>
                  <w:r>
                    <w:rPr>
                      <w:rFonts w:hint="eastAsia"/>
                    </w:rPr>
                    <w:t>□良好的使用感受、持续经营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vAlign w:val="top"/>
                </w:tcPr>
                <w:p>
                  <w:pPr>
                    <w:rPr>
                      <w:szCs w:val="24"/>
                    </w:rPr>
                  </w:pPr>
                  <w:r>
                    <w:rPr>
                      <w:rFonts w:hint="eastAsia"/>
                      <w:color w:val="000000" w:themeColor="text1"/>
                      <w:szCs w:val="24"/>
                    </w:rPr>
                    <w:t>——</w:t>
                  </w:r>
                </w:p>
              </w:tc>
              <w:tc>
                <w:tcPr>
                  <w:tcW w:w="3625" w:type="dxa"/>
                </w:tcPr>
                <w:p>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3805" w:type="dxa"/>
                  <w:vAlign w:val="top"/>
                </w:tcPr>
                <w:p>
                  <w:pPr>
                    <w:rPr>
                      <w:color w:val="FF0000"/>
                    </w:rPr>
                  </w:pPr>
                  <w:r>
                    <w:rPr>
                      <w:rFonts w:hint="eastAsia"/>
                      <w:color w:val="000000" w:themeColor="text1"/>
                      <w:lang w:val="en-US" w:eastAsia="zh-CN"/>
                    </w:rPr>
                    <w:t>黄山市徽州医药有限公司</w:t>
                  </w:r>
                </w:p>
              </w:tc>
              <w:tc>
                <w:tcPr>
                  <w:tcW w:w="3625" w:type="dxa"/>
                </w:tcPr>
                <w:p>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vAlign w:val="top"/>
                </w:tcPr>
                <w:p>
                  <w:r>
                    <w:rPr>
                      <w:rFonts w:hint="eastAsia"/>
                    </w:rPr>
                    <w:t>如亳州市芜湖现代产业园区</w:t>
                  </w: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《相关方及要求与期望清单》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7132" w:type="dxa"/>
                </w:tcPr>
                <w:p>
                  <w:r>
                    <w:rPr>
                      <w:rFonts w:hint="eastAsia" w:ascii="宋体" w:hAnsi="宋体"/>
                      <w:color w:val="000000" w:themeColor="text1"/>
                    </w:rPr>
                    <w:t>中药饮片的生产（限资质范围内）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pPr>
                    <w:rPr>
                      <w:rFonts w:ascii="宋体" w:hAnsi="宋体"/>
                      <w:color w:val="000000" w:themeColor="text1"/>
                    </w:rPr>
                  </w:pPr>
                  <w:r>
                    <w:rPr>
                      <w:rFonts w:hint="eastAsia" w:ascii="宋体" w:hAnsi="宋体"/>
                      <w:color w:val="000000" w:themeColor="text1"/>
                    </w:rPr>
                    <w:t>亳州</w:t>
                  </w:r>
                  <w:r>
                    <w:rPr>
                      <w:rFonts w:ascii="宋体" w:hAnsi="宋体"/>
                      <w:color w:val="000000" w:themeColor="text1"/>
                    </w:rPr>
                    <w:t>芜湖现代产业园区茴香路</w:t>
                  </w:r>
                  <w:r>
                    <w:rPr>
                      <w:rFonts w:hint="eastAsia" w:ascii="宋体" w:hAnsi="宋体"/>
                      <w:color w:val="000000" w:themeColor="text1"/>
                    </w:rPr>
                    <w:t>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pPr>
                    <w:rPr>
                      <w:rFonts w:ascii="宋体" w:hAnsi="宋体"/>
                      <w:color w:val="000000" w:themeColor="text1"/>
                    </w:rPr>
                  </w:pPr>
                  <w:bookmarkStart w:id="0" w:name="生产地址"/>
                  <w:r>
                    <w:rPr>
                      <w:rFonts w:hint="eastAsia" w:ascii="宋体" w:hAnsi="宋体"/>
                      <w:color w:val="000000" w:themeColor="text1"/>
                    </w:rPr>
                    <w:t>亳州</w:t>
                  </w:r>
                  <w:r>
                    <w:rPr>
                      <w:rFonts w:ascii="宋体" w:hAnsi="宋体"/>
                      <w:color w:val="000000" w:themeColor="text1"/>
                    </w:rPr>
                    <w:t>芜湖现代产业园区茴香路</w:t>
                  </w:r>
                  <w:r>
                    <w:rPr>
                      <w:rFonts w:hint="eastAsia" w:ascii="宋体" w:hAnsi="宋体"/>
                      <w:color w:val="000000" w:themeColor="text1"/>
                    </w:rPr>
                    <w:t>269号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lang w:eastAsia="zh-CN"/>
              </w:rPr>
              <w:t>□</w:t>
            </w:r>
            <w:r>
              <w:rPr>
                <w:rFonts w:hint="eastAsia"/>
              </w:rPr>
              <w:t xml:space="preserve">合同评审□知识保密 </w:t>
            </w:r>
          </w:p>
          <w:p>
            <w:pPr>
              <w:spacing w:before="40" w:after="40"/>
            </w:pPr>
            <w:r>
              <w:rPr>
                <w:rFonts w:hint="eastAsia"/>
              </w:rPr>
              <w:t>□新产品设计开发 ☑交付与服务 ☑外部供方控制 ☑产品制造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w:t>
            </w:r>
            <w:r>
              <w:rPr>
                <w:rFonts w:hint="eastAsia"/>
              </w:rPr>
              <w:sym w:font="Wingdings 2" w:char="0052"/>
            </w:r>
            <w:r>
              <w:rPr>
                <w:rFonts w:hint="eastAsia"/>
              </w:rPr>
              <w:t>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r>
              <w:rPr>
                <w:rFonts w:hint="eastAsia"/>
                <w:color w:val="000000"/>
                <w:szCs w:val="21"/>
              </w:rPr>
              <w:t xml:space="preserve"> </w:t>
            </w:r>
            <w:r>
              <w:rPr>
                <w:rFonts w:hint="eastAsia"/>
              </w:rPr>
              <w:t>☑以身作则 ☑建立机制 ☑法规宣传 ☑风险机遇的应对 ☑重视顾客反馈 ☑目标考核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rPr>
            </w:pPr>
            <w:r>
              <w:rPr>
                <w:rFonts w:hint="eastAsia"/>
                <w:color w:val="000000"/>
                <w:szCs w:val="21"/>
              </w:rPr>
              <w:t xml:space="preserve"> </w:t>
            </w:r>
            <w:r>
              <w:rPr>
                <w:rFonts w:hint="eastAsia"/>
              </w:rPr>
              <w:t>最高管理者制定了文件化的管理体系方针：</w:t>
            </w:r>
          </w:p>
          <w:p>
            <w:pPr>
              <w:rPr>
                <w:b/>
                <w:u w:val="single"/>
              </w:rPr>
            </w:pPr>
            <w:r>
              <w:rPr>
                <w:rFonts w:hint="eastAsia"/>
                <w:b/>
                <w:u w:val="single"/>
              </w:rPr>
              <w:t>质量第一 诚信为本 精益求精 不断创新 遵纪守法 节能降耗 预防污染 持续改进 消除隐患 保障安全</w:t>
            </w:r>
          </w:p>
          <w:p>
            <w:pPr>
              <w:rPr>
                <w:b/>
                <w:bCs/>
                <w:szCs w:val="22"/>
              </w:rPr>
            </w:pPr>
            <w:r>
              <w:rPr>
                <w:rFonts w:hint="eastAsia"/>
                <w:b/>
                <w:bCs/>
                <w:szCs w:val="22"/>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w:t>
                  </w:r>
                </w:p>
              </w:tc>
              <w:tc>
                <w:tcPr>
                  <w:tcW w:w="2261" w:type="dxa"/>
                </w:tcPr>
                <w:p>
                  <w:pPr>
                    <w:rPr>
                      <w:rFonts w:hint="eastAsia" w:eastAsia="宋体"/>
                      <w:lang w:eastAsia="zh-CN"/>
                    </w:rPr>
                  </w:pPr>
                  <w:r>
                    <w:rPr>
                      <w:rFonts w:hint="eastAsia"/>
                      <w:lang w:eastAsia="zh-CN"/>
                    </w:rPr>
                    <w:t>质量部</w:t>
                  </w:r>
                </w:p>
              </w:tc>
              <w:tc>
                <w:tcPr>
                  <w:tcW w:w="2261" w:type="dxa"/>
                </w:tcPr>
                <w:p>
                  <w:r>
                    <w:rPr>
                      <w:rFonts w:hint="eastAsia"/>
                    </w:rPr>
                    <w:t>合同评审过程</w:t>
                  </w:r>
                </w:p>
              </w:tc>
              <w:tc>
                <w:tcPr>
                  <w:tcW w:w="2261" w:type="dxa"/>
                </w:tcPr>
                <w:p>
                  <w:r>
                    <w:rPr>
                      <w:rFonts w:hint="eastAsia"/>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人力资源过程</w:t>
                  </w:r>
                </w:p>
              </w:tc>
              <w:tc>
                <w:tcPr>
                  <w:tcW w:w="2261" w:type="dxa"/>
                </w:tcPr>
                <w:p>
                  <w:r>
                    <w:rPr>
                      <w:rFonts w:hint="eastAsia"/>
                    </w:rPr>
                    <w:t>行政部</w:t>
                  </w:r>
                </w:p>
              </w:tc>
              <w:tc>
                <w:tcPr>
                  <w:tcW w:w="2261" w:type="dxa"/>
                </w:tcPr>
                <w:p>
                  <w:r>
                    <w:rPr>
                      <w:rFonts w:hint="eastAsia"/>
                    </w:rPr>
                    <w:t>不合格品控制过程</w:t>
                  </w:r>
                </w:p>
              </w:tc>
              <w:tc>
                <w:tcPr>
                  <w:tcW w:w="2261" w:type="dxa"/>
                </w:tcPr>
                <w:p>
                  <w:pPr>
                    <w:rPr>
                      <w:rFonts w:hint="eastAsia" w:eastAsia="宋体"/>
                      <w:lang w:eastAsia="zh-CN"/>
                    </w:rPr>
                  </w:pPr>
                  <w:r>
                    <w:rPr>
                      <w:rFonts w:hint="eastAsia"/>
                      <w:lang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产品制造过程</w:t>
                  </w:r>
                </w:p>
              </w:tc>
              <w:tc>
                <w:tcPr>
                  <w:tcW w:w="2261" w:type="dxa"/>
                </w:tcPr>
                <w:p>
                  <w:r>
                    <w:rPr>
                      <w:rFonts w:hint="eastAsia"/>
                    </w:rPr>
                    <w:t>生产部</w:t>
                  </w:r>
                </w:p>
              </w:tc>
              <w:tc>
                <w:tcPr>
                  <w:tcW w:w="2261" w:type="dxa"/>
                </w:tcPr>
                <w:p/>
              </w:tc>
              <w:tc>
                <w:tcPr>
                  <w:tcW w:w="2261" w:type="dxa"/>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风险与机遇</w:t>
            </w:r>
            <w:r>
              <w:rPr>
                <w:rFonts w:hint="eastAsia"/>
              </w:rPr>
              <w:t>控制程序》、</w:t>
            </w:r>
            <w:r>
              <w:rPr>
                <w:rFonts w:hint="eastAsia"/>
              </w:rPr>
              <w:sym w:font="Wingdings" w:char="00FE"/>
            </w:r>
            <w:r>
              <w:rPr>
                <w:rFonts w:hint="eastAsia"/>
              </w:rPr>
              <w:t>管理手册第6.1条款、《</w:t>
            </w:r>
            <w:r>
              <w:rPr>
                <w:rFonts w:hint="eastAsia"/>
                <w:color w:val="000000"/>
                <w:szCs w:val="21"/>
              </w:rPr>
              <w:t>风险和机遇评估分析表</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头脑风暴法</w:t>
            </w:r>
            <w:r>
              <w:rPr>
                <w:rFonts w:hint="eastAsia"/>
              </w:rPr>
              <w:sym w:font="Wingdings" w:char="00FE"/>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p>
            <w:r>
              <w:rPr>
                <w:rFonts w:hint="eastAsia"/>
              </w:rPr>
              <w:t xml:space="preserve">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Pr>
                <w:p>
                  <w:r>
                    <w:rPr>
                      <w:rFonts w:hint="eastAsia"/>
                    </w:rPr>
                    <w:t>主要的风险描述</w:t>
                  </w:r>
                </w:p>
              </w:tc>
              <w:tc>
                <w:tcPr>
                  <w:tcW w:w="415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highlight w:val="cyan"/>
                    </w:rPr>
                  </w:pPr>
                  <w:r>
                    <w:rPr>
                      <w:rFonts w:hint="eastAsia" w:ascii="宋体" w:hAnsi="宋体"/>
                      <w:color w:val="000000"/>
                    </w:rPr>
                    <w:t>新来的员工不熟悉相应的工作流程，可能影响服务的质量，造成顾客投诉。</w:t>
                  </w:r>
                </w:p>
              </w:tc>
              <w:tc>
                <w:tcPr>
                  <w:tcW w:w="4156" w:type="dxa"/>
                </w:tcPr>
                <w:p>
                  <w:pPr>
                    <w:rPr>
                      <w:highlight w:val="cyan"/>
                    </w:rPr>
                  </w:pPr>
                  <w:r>
                    <w:rPr>
                      <w:rFonts w:hint="eastAsia" w:ascii="宋体" w:hAnsi="宋体"/>
                      <w:bCs/>
                      <w:color w:val="000000"/>
                    </w:rPr>
                    <w:t>加强对新招聘服务人员技能的培训</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szCs w:val="24"/>
                    </w:rPr>
                  </w:pPr>
                  <w:r>
                    <w:rPr>
                      <w:rFonts w:hint="eastAsia" w:ascii="宋体" w:hAnsi="宋体"/>
                    </w:rPr>
                    <w:t>采购产品过程验收人员工作疏忽，造成销售产品质量不合格，顾客不满或投诉</w:t>
                  </w:r>
                </w:p>
              </w:tc>
              <w:tc>
                <w:tcPr>
                  <w:tcW w:w="4156" w:type="dxa"/>
                </w:tcPr>
                <w:p>
                  <w:r>
                    <w:rPr>
                      <w:rFonts w:hint="eastAsia" w:ascii="宋体" w:hAnsi="宋体"/>
                    </w:rPr>
                    <w:t>加强质量检查人员培训和要求</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numPr>
                      <w:ilvl w:val="0"/>
                      <w:numId w:val="1"/>
                    </w:numPr>
                    <w:adjustRightInd w:val="0"/>
                    <w:snapToGrid w:val="0"/>
                    <w:rPr>
                      <w:rFonts w:ascii="宋体" w:hAnsi="宋体"/>
                      <w:bCs/>
                      <w:color w:val="000000"/>
                    </w:rPr>
                  </w:pPr>
                  <w:r>
                    <w:rPr>
                      <w:rFonts w:hint="eastAsia" w:ascii="宋体" w:hAnsi="宋体"/>
                      <w:bCs/>
                      <w:color w:val="000000"/>
                    </w:rPr>
                    <w:t>供应商供货质量不合格，退换货耽误时间，延误合同交期。</w:t>
                  </w:r>
                </w:p>
                <w:p>
                  <w:pPr>
                    <w:jc w:val="left"/>
                    <w:rPr>
                      <w:szCs w:val="24"/>
                    </w:rPr>
                  </w:pPr>
                  <w:r>
                    <w:rPr>
                      <w:rFonts w:hint="eastAsia" w:ascii="宋体" w:hAnsi="宋体"/>
                      <w:bCs/>
                      <w:color w:val="000000"/>
                    </w:rPr>
                    <w:t>2、供应商未按期交货，延误合同交期误。</w:t>
                  </w:r>
                </w:p>
              </w:tc>
              <w:tc>
                <w:tcPr>
                  <w:tcW w:w="4156" w:type="dxa"/>
                </w:tcPr>
                <w:p>
                  <w:pPr>
                    <w:numPr>
                      <w:ilvl w:val="0"/>
                      <w:numId w:val="2"/>
                    </w:numPr>
                    <w:adjustRightInd w:val="0"/>
                    <w:snapToGrid w:val="0"/>
                    <w:rPr>
                      <w:rFonts w:ascii="宋体" w:hAnsi="宋体"/>
                      <w:bCs/>
                      <w:color w:val="000000"/>
                    </w:rPr>
                  </w:pPr>
                  <w:r>
                    <w:rPr>
                      <w:rFonts w:hint="eastAsia" w:ascii="宋体" w:hAnsi="宋体"/>
                      <w:bCs/>
                      <w:color w:val="000000"/>
                    </w:rPr>
                    <w:t>供方定期评审；采购合同中明确质量要求；</w:t>
                  </w:r>
                </w:p>
                <w:p>
                  <w:pPr>
                    <w:numPr>
                      <w:ilvl w:val="0"/>
                      <w:numId w:val="2"/>
                    </w:numPr>
                    <w:adjustRightInd w:val="0"/>
                    <w:snapToGrid w:val="0"/>
                    <w:rPr>
                      <w:rFonts w:ascii="宋体" w:hAnsi="宋体"/>
                      <w:bCs/>
                      <w:color w:val="000000"/>
                    </w:rPr>
                  </w:pPr>
                  <w:r>
                    <w:rPr>
                      <w:rFonts w:hint="eastAsia" w:ascii="宋体" w:hAnsi="宋体"/>
                      <w:bCs/>
                      <w:color w:val="000000"/>
                    </w:rPr>
                    <w:t>对供应商提供产品、服务绩效进行评估；</w:t>
                  </w:r>
                </w:p>
                <w:p>
                  <w:r>
                    <w:rPr>
                      <w:rFonts w:hint="eastAsia" w:ascii="宋体" w:hAnsi="宋体"/>
                      <w:bCs/>
                      <w:color w:val="000000"/>
                    </w:rPr>
                    <w:t>3、后备新的供应商。</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FF0000"/>
                      <w:highlight w:val="cyan"/>
                    </w:rPr>
                  </w:pPr>
                  <w:r>
                    <w:rPr>
                      <w:rFonts w:ascii="Comic Sans MS" w:hAnsi="DFKai-SB"/>
                    </w:rPr>
                    <w:t>公司环保</w:t>
                  </w:r>
                  <w:r>
                    <w:rPr>
                      <w:rFonts w:hint="eastAsia" w:ascii="Comic Sans MS" w:hAnsi="DFKai-SB"/>
                    </w:rPr>
                    <w:t>和职业健康安全相关</w:t>
                  </w:r>
                  <w:r>
                    <w:rPr>
                      <w:rFonts w:ascii="Comic Sans MS" w:hAnsi="DFKai-SB"/>
                    </w:rPr>
                    <w:t>资质及设施较为齐全</w:t>
                  </w:r>
                </w:p>
              </w:tc>
              <w:tc>
                <w:tcPr>
                  <w:tcW w:w="3675" w:type="dxa"/>
                </w:tcPr>
                <w:p>
                  <w:r>
                    <w:rPr>
                      <w:rFonts w:ascii="Comic Sans MS" w:hAnsi="DFKai-SB"/>
                    </w:rPr>
                    <w:t>建立健全环保</w:t>
                  </w:r>
                  <w:r>
                    <w:rPr>
                      <w:rFonts w:hint="eastAsia" w:ascii="Comic Sans MS" w:hAnsi="DFKai-SB"/>
                    </w:rPr>
                    <w:t>和职业健康安全</w:t>
                  </w:r>
                  <w:r>
                    <w:rPr>
                      <w:rFonts w:ascii="Comic Sans MS" w:hAnsi="DFKai-SB"/>
                    </w:rPr>
                    <w:t>制度，严格落实执行</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
            <w:r>
              <w:rPr>
                <w:rFonts w:hint="eastAsia"/>
              </w:rPr>
              <w:t>查看</w:t>
            </w:r>
            <w:r>
              <w:rPr>
                <w:rFonts w:hint="eastAsia"/>
              </w:rPr>
              <w:sym w:font="Wingdings" w:char="00FE"/>
            </w:r>
            <w:r>
              <w:rPr>
                <w:rFonts w:hint="eastAsia"/>
              </w:rPr>
              <w:t>《风险和机遇分析表》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《目标分解及考核》</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7"/>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913"/>
              <w:gridCol w:w="2509"/>
              <w:gridCol w:w="106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质量目标</w:t>
                  </w:r>
                </w:p>
              </w:tc>
              <w:tc>
                <w:tcPr>
                  <w:tcW w:w="913" w:type="dxa"/>
                  <w:shd w:val="clear" w:color="auto" w:fill="auto"/>
                </w:tcPr>
                <w:p>
                  <w:pPr>
                    <w:rPr>
                      <w:rFonts w:ascii="宋体" w:hAnsi="宋体"/>
                      <w:szCs w:val="24"/>
                    </w:rPr>
                  </w:pPr>
                  <w:r>
                    <w:rPr>
                      <w:rFonts w:hint="eastAsia" w:ascii="宋体" w:hAnsi="宋体"/>
                      <w:szCs w:val="24"/>
                    </w:rPr>
                    <w:t>目标值</w:t>
                  </w:r>
                </w:p>
              </w:tc>
              <w:tc>
                <w:tcPr>
                  <w:tcW w:w="2509" w:type="dxa"/>
                  <w:shd w:val="clear" w:color="auto" w:fill="auto"/>
                </w:tcPr>
                <w:p>
                  <w:pPr>
                    <w:rPr>
                      <w:rFonts w:ascii="宋体" w:hAnsi="宋体"/>
                      <w:szCs w:val="24"/>
                    </w:rPr>
                  </w:pPr>
                  <w:r>
                    <w:rPr>
                      <w:rFonts w:hint="eastAsia" w:ascii="宋体" w:hAnsi="宋体"/>
                      <w:szCs w:val="24"/>
                    </w:rPr>
                    <w:t>计算方法</w:t>
                  </w:r>
                </w:p>
              </w:tc>
              <w:tc>
                <w:tcPr>
                  <w:tcW w:w="1064" w:type="dxa"/>
                  <w:shd w:val="clear" w:color="auto" w:fill="auto"/>
                </w:tcPr>
                <w:p>
                  <w:pPr>
                    <w:rPr>
                      <w:rFonts w:ascii="宋体" w:hAnsi="宋体"/>
                      <w:szCs w:val="24"/>
                    </w:rPr>
                  </w:pPr>
                  <w:r>
                    <w:rPr>
                      <w:rFonts w:hint="eastAsia" w:ascii="宋体" w:hAnsi="宋体"/>
                      <w:szCs w:val="24"/>
                    </w:rPr>
                    <w:t>统计频次</w:t>
                  </w:r>
                </w:p>
              </w:tc>
              <w:tc>
                <w:tcPr>
                  <w:tcW w:w="2350" w:type="dxa"/>
                  <w:shd w:val="clear" w:color="auto" w:fill="auto"/>
                </w:tcPr>
                <w:p>
                  <w:pPr>
                    <w:rPr>
                      <w:rFonts w:ascii="宋体" w:hAnsi="宋体"/>
                      <w:szCs w:val="24"/>
                    </w:rPr>
                  </w:pPr>
                  <w:r>
                    <w:rPr>
                      <w:rFonts w:hint="eastAsia" w:ascii="宋体" w:hAnsi="宋体"/>
                      <w:szCs w:val="24"/>
                    </w:rPr>
                    <w:t>2020目标实际完成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rPr>
                      <w:szCs w:val="21"/>
                    </w:rPr>
                  </w:pPr>
                  <w:r>
                    <w:rPr>
                      <w:rFonts w:hint="eastAsia"/>
                      <w:szCs w:val="21"/>
                    </w:rPr>
                    <w:t>产品交付合格率100%</w:t>
                  </w:r>
                </w:p>
              </w:tc>
              <w:tc>
                <w:tcPr>
                  <w:tcW w:w="913" w:type="dxa"/>
                  <w:shd w:val="clear" w:color="auto" w:fill="auto"/>
                  <w:vAlign w:val="center"/>
                </w:tcPr>
                <w:p>
                  <w:r>
                    <w:rPr>
                      <w:rFonts w:hint="eastAsia"/>
                    </w:rPr>
                    <w:t>100%</w:t>
                  </w:r>
                </w:p>
              </w:tc>
              <w:tc>
                <w:tcPr>
                  <w:tcW w:w="2509" w:type="dxa"/>
                  <w:shd w:val="clear" w:color="auto" w:fill="auto"/>
                  <w:vAlign w:val="top"/>
                </w:tcPr>
                <w:p>
                  <w:pPr>
                    <w:spacing w:line="300" w:lineRule="exact"/>
                    <w:rPr>
                      <w:szCs w:val="21"/>
                    </w:rPr>
                  </w:pPr>
                  <w:r>
                    <w:rPr>
                      <w:rFonts w:hint="eastAsia"/>
                      <w:szCs w:val="21"/>
                    </w:rPr>
                    <w:t>产品一次检验合格品数/产品总数×100%</w:t>
                  </w:r>
                </w:p>
              </w:tc>
              <w:tc>
                <w:tcPr>
                  <w:tcW w:w="1064" w:type="dxa"/>
                  <w:shd w:val="clear" w:color="auto" w:fill="auto"/>
                  <w:vAlign w:val="top"/>
                </w:tcPr>
                <w:p>
                  <w:pPr>
                    <w:spacing w:line="500" w:lineRule="exact"/>
                    <w:rPr>
                      <w:szCs w:val="21"/>
                    </w:rPr>
                  </w:pPr>
                  <w:r>
                    <w:rPr>
                      <w:rFonts w:hint="eastAsia"/>
                      <w:szCs w:val="21"/>
                    </w:rPr>
                    <w:t>一次/月</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szCs w:val="21"/>
                    </w:rPr>
                  </w:pPr>
                  <w:r>
                    <w:rPr>
                      <w:rFonts w:hint="eastAsia"/>
                      <w:szCs w:val="21"/>
                    </w:rPr>
                    <w:t>顾客满意度≥90%</w:t>
                  </w:r>
                </w:p>
              </w:tc>
              <w:tc>
                <w:tcPr>
                  <w:tcW w:w="913" w:type="dxa"/>
                  <w:shd w:val="clear" w:color="auto" w:fill="auto"/>
                  <w:vAlign w:val="center"/>
                </w:tcPr>
                <w:p>
                  <w:pPr>
                    <w:rPr>
                      <w:rFonts w:hint="default" w:eastAsia="宋体"/>
                      <w:lang w:val="en-US" w:eastAsia="zh-CN"/>
                    </w:rPr>
                  </w:pPr>
                  <w:r>
                    <w:rPr>
                      <w:rFonts w:hint="eastAsia"/>
                      <w:lang w:val="en-US" w:eastAsia="zh-CN"/>
                    </w:rPr>
                    <w:t>97</w:t>
                  </w:r>
                </w:p>
              </w:tc>
              <w:tc>
                <w:tcPr>
                  <w:tcW w:w="2509" w:type="dxa"/>
                  <w:shd w:val="clear" w:color="auto" w:fill="auto"/>
                  <w:vAlign w:val="center"/>
                </w:tcPr>
                <w:p>
                  <w:pPr>
                    <w:spacing w:line="300" w:lineRule="exact"/>
                    <w:rPr>
                      <w:szCs w:val="21"/>
                    </w:rPr>
                  </w:pPr>
                  <w:r>
                    <w:rPr>
                      <w:rFonts w:hint="eastAsia"/>
                      <w:szCs w:val="21"/>
                    </w:rPr>
                    <w:t>质量、服务、交付期等项目分数之和/项目数×</w:t>
                  </w:r>
                  <w:r>
                    <w:rPr>
                      <w:szCs w:val="21"/>
                    </w:rPr>
                    <w:t>100%</w:t>
                  </w:r>
                </w:p>
              </w:tc>
              <w:tc>
                <w:tcPr>
                  <w:tcW w:w="1064" w:type="dxa"/>
                  <w:shd w:val="clear" w:color="auto" w:fill="auto"/>
                  <w:vAlign w:val="top"/>
                </w:tcPr>
                <w:p>
                  <w:pPr>
                    <w:rPr>
                      <w:szCs w:val="21"/>
                    </w:rPr>
                  </w:pPr>
                  <w:r>
                    <w:rPr>
                      <w:rFonts w:hint="eastAsia"/>
                      <w:szCs w:val="21"/>
                    </w:rPr>
                    <w:t>一次/年</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szCs w:val="21"/>
                    </w:rPr>
                  </w:pPr>
                  <w:r>
                    <w:rPr>
                      <w:rFonts w:hint="eastAsia"/>
                      <w:szCs w:val="21"/>
                    </w:rPr>
                    <w:t>火灾事故0发生</w:t>
                  </w:r>
                </w:p>
              </w:tc>
              <w:tc>
                <w:tcPr>
                  <w:tcW w:w="913" w:type="dxa"/>
                  <w:shd w:val="clear" w:color="auto" w:fill="auto"/>
                  <w:vAlign w:val="center"/>
                </w:tcPr>
                <w:p>
                  <w:pPr>
                    <w:rPr>
                      <w:rFonts w:hint="eastAsia" w:eastAsia="宋体"/>
                      <w:lang w:eastAsia="zh-CN"/>
                    </w:rPr>
                  </w:pPr>
                  <w:r>
                    <w:rPr>
                      <w:rFonts w:hint="eastAsia"/>
                      <w:lang w:val="en-US" w:eastAsia="zh-CN"/>
                    </w:rPr>
                    <w:t>0</w:t>
                  </w:r>
                </w:p>
              </w:tc>
              <w:tc>
                <w:tcPr>
                  <w:tcW w:w="2509" w:type="dxa"/>
                  <w:shd w:val="clear" w:color="auto" w:fill="auto"/>
                  <w:vAlign w:val="top"/>
                </w:tcPr>
                <w:p>
                  <w:pPr>
                    <w:rPr>
                      <w:szCs w:val="21"/>
                    </w:rPr>
                  </w:pPr>
                  <w:r>
                    <w:rPr>
                      <w:rFonts w:hint="eastAsia"/>
                      <w:szCs w:val="21"/>
                    </w:rPr>
                    <w:t>统计火灾事故次数</w:t>
                  </w:r>
                </w:p>
              </w:tc>
              <w:tc>
                <w:tcPr>
                  <w:tcW w:w="1064" w:type="dxa"/>
                  <w:shd w:val="clear" w:color="auto" w:fill="auto"/>
                  <w:vAlign w:val="top"/>
                </w:tcPr>
                <w:p>
                  <w:pPr>
                    <w:rPr>
                      <w:szCs w:val="21"/>
                    </w:rPr>
                  </w:pPr>
                  <w:r>
                    <w:rPr>
                      <w:rFonts w:hint="eastAsia"/>
                      <w:szCs w:val="21"/>
                    </w:rPr>
                    <w:t>一次/季度</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rFonts w:ascii="Times New Roman" w:hAnsi="Times New Roman"/>
                      <w:szCs w:val="21"/>
                    </w:rPr>
                  </w:pPr>
                  <w:r>
                    <w:rPr>
                      <w:rFonts w:hint="eastAsia"/>
                      <w:szCs w:val="21"/>
                    </w:rPr>
                    <w:t>废气合规排放100%</w:t>
                  </w:r>
                </w:p>
              </w:tc>
              <w:tc>
                <w:tcPr>
                  <w:tcW w:w="913" w:type="dxa"/>
                  <w:shd w:val="clear" w:color="auto" w:fill="auto"/>
                  <w:vAlign w:val="center"/>
                </w:tcPr>
                <w:p>
                  <w:r>
                    <w:rPr>
                      <w:rFonts w:hint="eastAsia"/>
                    </w:rPr>
                    <w:t>100%</w:t>
                  </w:r>
                </w:p>
              </w:tc>
              <w:tc>
                <w:tcPr>
                  <w:tcW w:w="2509" w:type="dxa"/>
                  <w:shd w:val="clear" w:color="auto" w:fill="auto"/>
                  <w:vAlign w:val="center"/>
                </w:tcPr>
                <w:p>
                  <w:pPr>
                    <w:spacing w:line="300" w:lineRule="exact"/>
                    <w:rPr>
                      <w:szCs w:val="21"/>
                    </w:rPr>
                  </w:pPr>
                  <w:r>
                    <w:rPr>
                      <w:rFonts w:hint="eastAsia"/>
                      <w:szCs w:val="21"/>
                    </w:rPr>
                    <w:t>环保设备开机数/生产开机数×100%</w:t>
                  </w:r>
                </w:p>
              </w:tc>
              <w:tc>
                <w:tcPr>
                  <w:tcW w:w="1064" w:type="dxa"/>
                  <w:shd w:val="clear" w:color="auto" w:fill="auto"/>
                  <w:vAlign w:val="top"/>
                </w:tcPr>
                <w:p>
                  <w:pPr>
                    <w:rPr>
                      <w:szCs w:val="21"/>
                    </w:rPr>
                  </w:pPr>
                  <w:r>
                    <w:rPr>
                      <w:rFonts w:hint="eastAsia"/>
                      <w:szCs w:val="21"/>
                    </w:rPr>
                    <w:t>一次/年</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napToGrid w:val="0"/>
                    <w:spacing w:line="300" w:lineRule="exact"/>
                    <w:rPr>
                      <w:szCs w:val="21"/>
                    </w:rPr>
                  </w:pPr>
                  <w:r>
                    <w:rPr>
                      <w:rFonts w:hint="eastAsia" w:ascii="Times New Roman" w:hAnsi="Times New Roman"/>
                      <w:szCs w:val="21"/>
                    </w:rPr>
                    <w:t>固体废物分类收集处置率100%</w:t>
                  </w:r>
                </w:p>
              </w:tc>
              <w:tc>
                <w:tcPr>
                  <w:tcW w:w="913" w:type="dxa"/>
                  <w:shd w:val="clear" w:color="auto" w:fill="auto"/>
                  <w:vAlign w:val="center"/>
                </w:tcPr>
                <w:p>
                  <w:r>
                    <w:rPr>
                      <w:rFonts w:hint="eastAsia"/>
                    </w:rPr>
                    <w:t>0</w:t>
                  </w:r>
                </w:p>
              </w:tc>
              <w:tc>
                <w:tcPr>
                  <w:tcW w:w="2509" w:type="dxa"/>
                  <w:shd w:val="clear" w:color="auto" w:fill="auto"/>
                  <w:vAlign w:val="center"/>
                </w:tcPr>
                <w:p>
                  <w:pPr>
                    <w:spacing w:line="300" w:lineRule="exact"/>
                    <w:rPr>
                      <w:szCs w:val="21"/>
                    </w:rPr>
                  </w:pPr>
                  <w:r>
                    <w:rPr>
                      <w:rFonts w:hint="eastAsia"/>
                      <w:szCs w:val="21"/>
                    </w:rPr>
                    <w:t>每季度检查两次分类处理情况/</w:t>
                  </w:r>
                  <w:r>
                    <w:rPr>
                      <w:szCs w:val="21"/>
                    </w:rPr>
                    <w:t>2</w:t>
                  </w:r>
                  <w:r>
                    <w:rPr>
                      <w:rFonts w:hint="eastAsia"/>
                      <w:szCs w:val="21"/>
                    </w:rPr>
                    <w:t>次分类处理情况×</w:t>
                  </w:r>
                  <w:r>
                    <w:rPr>
                      <w:szCs w:val="21"/>
                    </w:rPr>
                    <w:t>100%</w:t>
                  </w:r>
                </w:p>
              </w:tc>
              <w:tc>
                <w:tcPr>
                  <w:tcW w:w="1064" w:type="dxa"/>
                  <w:shd w:val="clear" w:color="auto" w:fill="auto"/>
                  <w:vAlign w:val="top"/>
                </w:tcPr>
                <w:p>
                  <w:pPr>
                    <w:rPr>
                      <w:szCs w:val="21"/>
                    </w:rPr>
                  </w:pPr>
                  <w:r>
                    <w:rPr>
                      <w:rFonts w:hint="eastAsia"/>
                      <w:szCs w:val="21"/>
                    </w:rPr>
                    <w:t>一次/季度</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pStyle w:val="3"/>
                    <w:snapToGrid w:val="0"/>
                    <w:spacing w:line="300" w:lineRule="exact"/>
                    <w:rPr>
                      <w:szCs w:val="21"/>
                    </w:rPr>
                  </w:pPr>
                  <w:r>
                    <w:rPr>
                      <w:rFonts w:hint="eastAsia" w:hAnsi="宋体"/>
                      <w:szCs w:val="21"/>
                    </w:rPr>
                    <w:t>重大伤亡事故为0；</w:t>
                  </w:r>
                </w:p>
              </w:tc>
              <w:tc>
                <w:tcPr>
                  <w:tcW w:w="913" w:type="dxa"/>
                  <w:vAlign w:val="center"/>
                </w:tcPr>
                <w:p>
                  <w:pPr>
                    <w:rPr>
                      <w:rFonts w:hint="eastAsia" w:eastAsia="宋体"/>
                      <w:lang w:eastAsia="zh-CN"/>
                    </w:rPr>
                  </w:pPr>
                  <w:r>
                    <w:rPr>
                      <w:rFonts w:hint="eastAsia"/>
                      <w:lang w:val="en-US" w:eastAsia="zh-CN"/>
                    </w:rPr>
                    <w:t>0</w:t>
                  </w:r>
                </w:p>
              </w:tc>
              <w:tc>
                <w:tcPr>
                  <w:tcW w:w="2509" w:type="dxa"/>
                  <w:vAlign w:val="center"/>
                </w:tcPr>
                <w:p>
                  <w:pPr>
                    <w:spacing w:line="300" w:lineRule="exact"/>
                    <w:rPr>
                      <w:szCs w:val="21"/>
                    </w:rPr>
                  </w:pPr>
                  <w:r>
                    <w:rPr>
                      <w:rFonts w:hint="eastAsia"/>
                      <w:szCs w:val="21"/>
                    </w:rPr>
                    <w:t>统计重大伤亡事故次数</w:t>
                  </w:r>
                </w:p>
              </w:tc>
              <w:tc>
                <w:tcPr>
                  <w:tcW w:w="1064" w:type="dxa"/>
                  <w:vAlign w:val="top"/>
                </w:tcPr>
                <w:p>
                  <w:pPr>
                    <w:rPr>
                      <w:szCs w:val="21"/>
                    </w:rPr>
                  </w:pPr>
                  <w:r>
                    <w:rPr>
                      <w:rFonts w:hint="eastAsia"/>
                      <w:szCs w:val="21"/>
                    </w:rPr>
                    <w:t>一次/季度</w:t>
                  </w:r>
                </w:p>
              </w:tc>
              <w:tc>
                <w:tcPr>
                  <w:tcW w:w="2350" w:type="dxa"/>
                </w:tcPr>
                <w:p>
                  <w:pPr>
                    <w:rPr>
                      <w:lang w:val="en-GB"/>
                    </w:rPr>
                  </w:pPr>
                  <w:r>
                    <w:rPr>
                      <w:rFonts w:hint="eastAsia"/>
                    </w:rPr>
                    <w:sym w:font="Wingdings" w:char="00FE"/>
                  </w:r>
                  <w:r>
                    <w:rPr>
                      <w:rFonts w:hint="eastAsia"/>
                    </w:rPr>
                    <w:t>是</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tabs>
                      <w:tab w:val="left" w:pos="900"/>
                    </w:tabs>
                    <w:spacing w:line="300" w:lineRule="exact"/>
                    <w:rPr>
                      <w:szCs w:val="21"/>
                    </w:rPr>
                  </w:pPr>
                  <w:r>
                    <w:rPr>
                      <w:rFonts w:hint="eastAsia"/>
                      <w:szCs w:val="21"/>
                    </w:rPr>
                    <w:t>噪音排放达标</w:t>
                  </w:r>
                </w:p>
              </w:tc>
              <w:tc>
                <w:tcPr>
                  <w:tcW w:w="913" w:type="dxa"/>
                  <w:vAlign w:val="center"/>
                </w:tcPr>
                <w:p>
                  <w:pPr>
                    <w:rPr>
                      <w:rFonts w:hint="eastAsia" w:eastAsia="宋体"/>
                      <w:lang w:val="en-US" w:eastAsia="zh-CN"/>
                    </w:rPr>
                  </w:pPr>
                  <w:r>
                    <w:rPr>
                      <w:rFonts w:hint="eastAsia"/>
                      <w:lang w:val="en-US" w:eastAsia="zh-CN"/>
                    </w:rPr>
                    <w:t>合格</w:t>
                  </w:r>
                </w:p>
              </w:tc>
              <w:tc>
                <w:tcPr>
                  <w:tcW w:w="2509" w:type="dxa"/>
                  <w:vAlign w:val="center"/>
                </w:tcPr>
                <w:p>
                  <w:pPr>
                    <w:spacing w:line="300" w:lineRule="exact"/>
                    <w:rPr>
                      <w:szCs w:val="21"/>
                    </w:rPr>
                  </w:pPr>
                  <w:r>
                    <w:rPr>
                      <w:rFonts w:hint="eastAsia"/>
                      <w:szCs w:val="21"/>
                    </w:rPr>
                    <w:t>环保监测部门直接测量数据</w:t>
                  </w:r>
                </w:p>
              </w:tc>
              <w:tc>
                <w:tcPr>
                  <w:tcW w:w="1064" w:type="dxa"/>
                  <w:vAlign w:val="top"/>
                </w:tcPr>
                <w:p>
                  <w:pPr>
                    <w:rPr>
                      <w:szCs w:val="21"/>
                    </w:rPr>
                  </w:pPr>
                  <w:r>
                    <w:rPr>
                      <w:rFonts w:hint="eastAsia"/>
                      <w:szCs w:val="21"/>
                    </w:rPr>
                    <w:t>一次/年</w:t>
                  </w:r>
                </w:p>
              </w:tc>
              <w:tc>
                <w:tcPr>
                  <w:tcW w:w="2350" w:type="dxa"/>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bl>
          <w:p>
            <w:pPr>
              <w:pStyle w:val="2"/>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3"/>
              </w:numPr>
              <w:rPr>
                <w:szCs w:val="21"/>
              </w:rPr>
            </w:pPr>
            <w:r>
              <w:rPr>
                <w:rFonts w:hint="eastAsia"/>
                <w:szCs w:val="21"/>
              </w:rPr>
              <w:t>现有内部资源的能力；</w:t>
            </w:r>
          </w:p>
          <w:p>
            <w:pPr>
              <w:rPr>
                <w:color w:val="FF0000"/>
              </w:rPr>
            </w:pPr>
            <w:r>
              <w:rPr>
                <w:rFonts w:hint="eastAsia"/>
              </w:rPr>
              <w:t>建筑面积</w:t>
            </w:r>
            <w:r>
              <w:rPr>
                <w:rFonts w:hint="eastAsia"/>
                <w:u w:val="single"/>
              </w:rPr>
              <w:t xml:space="preserve">  11833.2 </w:t>
            </w:r>
            <w:r>
              <w:rPr>
                <w:rFonts w:hint="eastAsia"/>
              </w:rPr>
              <w:t>平方米；生产车间</w:t>
            </w:r>
            <w:r>
              <w:rPr>
                <w:rFonts w:hint="eastAsia"/>
                <w:u w:val="single"/>
              </w:rPr>
              <w:t xml:space="preserve"> 3 </w:t>
            </w:r>
            <w:r>
              <w:rPr>
                <w:rFonts w:hint="eastAsia"/>
              </w:rPr>
              <w:t>个；库房</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个；实验室</w:t>
            </w:r>
            <w:r>
              <w:rPr>
                <w:rFonts w:hint="eastAsia"/>
                <w:u w:val="single"/>
              </w:rPr>
              <w:t xml:space="preserve"> 1  </w:t>
            </w:r>
            <w:r>
              <w:rPr>
                <w:rFonts w:hint="eastAsia"/>
              </w:rPr>
              <w:t>个；</w:t>
            </w:r>
          </w:p>
          <w:p>
            <w:pPr>
              <w:rPr>
                <w:u w:val="single"/>
              </w:rPr>
            </w:pPr>
            <w:r>
              <w:rPr>
                <w:rFonts w:hint="eastAsia"/>
              </w:rPr>
              <w:t>主要生产设备有：</w:t>
            </w:r>
            <w:r>
              <w:rPr>
                <w:rFonts w:hint="eastAsia"/>
                <w:u w:val="single"/>
              </w:rPr>
              <w:t xml:space="preserve"> 多功能切药机、可倾式蒸煮锅、炒药机   （列举2~4种）</w:t>
            </w:r>
          </w:p>
          <w:p>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color w:val="000000" w:themeColor="text1"/>
                <w:u w:val="single"/>
              </w:rPr>
            </w:pPr>
            <w:r>
              <w:rPr>
                <w:rFonts w:hint="eastAsia"/>
              </w:rPr>
              <w:t>特种设备管理：</w:t>
            </w:r>
            <w:r>
              <w:rPr>
                <w:rFonts w:hint="eastAsia"/>
              </w:rPr>
              <w:sym w:font="Wingdings" w:char="00A8"/>
            </w:r>
            <w:r>
              <w:rPr>
                <w:rFonts w:hint="eastAsia"/>
              </w:rPr>
              <w:t xml:space="preserve">进行了定期检验 </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u w:val="single"/>
                <w:lang w:val="en-US" w:eastAsia="zh-CN"/>
              </w:rPr>
              <w:t>提供的锅炉检验报告已过期</w:t>
            </w:r>
            <w:r>
              <w:rPr>
                <w:rFonts w:hint="eastAsia"/>
                <w:color w:val="000000" w:themeColor="text1"/>
                <w:u w:val="single"/>
              </w:rPr>
              <w:t xml:space="preserve">  </w:t>
            </w:r>
          </w:p>
          <w:p>
            <w:pPr>
              <w:rPr>
                <w:color w:val="000000" w:themeColor="text1"/>
                <w:szCs w:val="21"/>
              </w:rPr>
            </w:pPr>
          </w:p>
          <w:p>
            <w:pPr>
              <w:rPr>
                <w:szCs w:val="21"/>
              </w:rPr>
            </w:pPr>
            <w:r>
              <w:rPr>
                <w:rFonts w:hint="eastAsia"/>
                <w:szCs w:val="21"/>
              </w:rPr>
              <w:t>还存在哪些局限和不足：</w:t>
            </w:r>
            <w:r>
              <w:rPr>
                <w:rFonts w:hint="eastAsia"/>
                <w:u w:val="single"/>
              </w:rPr>
              <w:t xml:space="preserve">  无                    </w:t>
            </w:r>
          </w:p>
          <w:p>
            <w:pPr>
              <w:rPr>
                <w:color w:val="FF0000"/>
                <w:szCs w:val="21"/>
              </w:rPr>
            </w:pPr>
          </w:p>
          <w:p>
            <w:pPr>
              <w:numPr>
                <w:ilvl w:val="0"/>
                <w:numId w:val="3"/>
              </w:numPr>
            </w:pPr>
            <w:r>
              <w:rPr>
                <w:rFonts w:hint="eastAsia"/>
                <w:szCs w:val="21"/>
              </w:rPr>
              <w:t>需要从外部供方获得的资源：</w:t>
            </w:r>
            <w:r>
              <w:rPr>
                <w:rFonts w:hint="eastAsia"/>
              </w:rPr>
              <w:t xml:space="preserve"> </w:t>
            </w:r>
            <w:r>
              <w:rPr>
                <w:rFonts w:hint="eastAsia"/>
                <w:u w:val="single"/>
              </w:rPr>
              <w:t xml:space="preserve">   产品运输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szCs w:val="21"/>
                    </w:rPr>
                  </w:pPr>
                  <w:r>
                    <w:rPr>
                      <w:rFonts w:hint="eastAsia"/>
                    </w:rPr>
                    <w:t>管理人员数</w:t>
                  </w:r>
                </w:p>
              </w:tc>
              <w:tc>
                <w:tcPr>
                  <w:tcW w:w="1292" w:type="dxa"/>
                </w:tcPr>
                <w:p>
                  <w:pPr>
                    <w:rPr>
                      <w:szCs w:val="21"/>
                    </w:rPr>
                  </w:pPr>
                  <w:r>
                    <w:rPr>
                      <w:rFonts w:hint="eastAsia"/>
                    </w:rPr>
                    <w:t>技术人员数</w:t>
                  </w:r>
                </w:p>
              </w:tc>
              <w:tc>
                <w:tcPr>
                  <w:tcW w:w="1292" w:type="dxa"/>
                </w:tcPr>
                <w:p>
                  <w:pPr>
                    <w:rPr>
                      <w:szCs w:val="21"/>
                    </w:rPr>
                  </w:pPr>
                  <w:r>
                    <w:rPr>
                      <w:rFonts w:hint="eastAsia"/>
                      <w:szCs w:val="21"/>
                    </w:rPr>
                    <w:t>操作人员数</w:t>
                  </w:r>
                </w:p>
              </w:tc>
              <w:tc>
                <w:tcPr>
                  <w:tcW w:w="1292" w:type="dxa"/>
                </w:tcPr>
                <w:p>
                  <w:pPr>
                    <w:rPr>
                      <w:szCs w:val="21"/>
                    </w:rPr>
                  </w:pPr>
                  <w:r>
                    <w:rPr>
                      <w:rFonts w:hint="eastAsia"/>
                      <w:szCs w:val="21"/>
                    </w:rPr>
                    <w:t>临时工数</w:t>
                  </w:r>
                </w:p>
              </w:tc>
              <w:tc>
                <w:tcPr>
                  <w:tcW w:w="1292" w:type="dxa"/>
                </w:tcPr>
                <w:p>
                  <w:pPr>
                    <w:rPr>
                      <w:szCs w:val="21"/>
                    </w:rPr>
                  </w:pPr>
                  <w:r>
                    <w:rPr>
                      <w:rFonts w:hint="eastAsia"/>
                      <w:szCs w:val="21"/>
                    </w:rPr>
                    <w:t>季节工数</w:t>
                  </w:r>
                </w:p>
              </w:tc>
              <w:tc>
                <w:tcPr>
                  <w:tcW w:w="1292" w:type="dxa"/>
                </w:tcPr>
                <w:p>
                  <w:pPr>
                    <w:rPr>
                      <w:szCs w:val="21"/>
                    </w:rPr>
                  </w:pPr>
                  <w:r>
                    <w:rPr>
                      <w:rFonts w:hint="eastAsia"/>
                      <w:szCs w:val="21"/>
                    </w:rPr>
                    <w:t>辅助人员数</w:t>
                  </w:r>
                </w:p>
              </w:tc>
              <w:tc>
                <w:tcPr>
                  <w:tcW w:w="1292" w:type="dxa"/>
                </w:tcPr>
                <w:p>
                  <w:pPr>
                    <w:rPr>
                      <w:szCs w:val="21"/>
                    </w:rPr>
                  </w:pPr>
                  <w:r>
                    <w:rPr>
                      <w:rFonts w:hint="eastAsia"/>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themeColor="text1"/>
                      <w:szCs w:val="21"/>
                      <w:lang w:eastAsia="zh-CN"/>
                    </w:rPr>
                  </w:pPr>
                  <w:r>
                    <w:rPr>
                      <w:rFonts w:hint="eastAsia"/>
                      <w:color w:val="000000" w:themeColor="text1"/>
                      <w:szCs w:val="21"/>
                      <w:lang w:val="en-US" w:eastAsia="zh-CN"/>
                    </w:rPr>
                    <w:t>9</w:t>
                  </w:r>
                </w:p>
              </w:tc>
              <w:tc>
                <w:tcPr>
                  <w:tcW w:w="1292" w:type="dxa"/>
                </w:tcPr>
                <w:p>
                  <w:pPr>
                    <w:rPr>
                      <w:rFonts w:hint="default" w:eastAsia="宋体"/>
                      <w:color w:val="000000" w:themeColor="text1"/>
                      <w:szCs w:val="21"/>
                      <w:lang w:val="en-US" w:eastAsia="zh-CN"/>
                    </w:rPr>
                  </w:pPr>
                  <w:r>
                    <w:rPr>
                      <w:rFonts w:hint="eastAsia"/>
                      <w:color w:val="000000" w:themeColor="text1"/>
                      <w:szCs w:val="21"/>
                      <w:lang w:val="en-US" w:eastAsia="zh-CN"/>
                    </w:rPr>
                    <w:t>17</w:t>
                  </w:r>
                </w:p>
              </w:tc>
              <w:tc>
                <w:tcPr>
                  <w:tcW w:w="1292" w:type="dxa"/>
                </w:tcPr>
                <w:p>
                  <w:pPr>
                    <w:rPr>
                      <w:color w:val="000000" w:themeColor="text1"/>
                      <w:szCs w:val="21"/>
                    </w:rPr>
                  </w:pPr>
                  <w:r>
                    <w:rPr>
                      <w:rFonts w:hint="eastAsia"/>
                      <w:color w:val="000000" w:themeColor="text1"/>
                      <w:szCs w:val="21"/>
                    </w:rPr>
                    <w:t>40</w:t>
                  </w:r>
                </w:p>
              </w:tc>
              <w:tc>
                <w:tcPr>
                  <w:tcW w:w="1292" w:type="dxa"/>
                </w:tcPr>
                <w:p>
                  <w:pPr>
                    <w:rPr>
                      <w:color w:val="000000" w:themeColor="text1"/>
                      <w:szCs w:val="21"/>
                    </w:rPr>
                  </w:pPr>
                  <w:r>
                    <w:rPr>
                      <w:rFonts w:hint="eastAsia"/>
                      <w:color w:val="000000" w:themeColor="text1"/>
                      <w:szCs w:val="21"/>
                    </w:rPr>
                    <w:t>0</w:t>
                  </w:r>
                </w:p>
              </w:tc>
              <w:tc>
                <w:tcPr>
                  <w:tcW w:w="1292" w:type="dxa"/>
                </w:tcPr>
                <w:p>
                  <w:pPr>
                    <w:rPr>
                      <w:color w:val="000000" w:themeColor="text1"/>
                      <w:szCs w:val="21"/>
                    </w:rPr>
                  </w:pPr>
                  <w:r>
                    <w:rPr>
                      <w:rFonts w:hint="eastAsia"/>
                      <w:color w:val="000000" w:themeColor="text1"/>
                      <w:szCs w:val="21"/>
                    </w:rPr>
                    <w:t>0</w:t>
                  </w:r>
                </w:p>
              </w:tc>
              <w:tc>
                <w:tcPr>
                  <w:tcW w:w="1292" w:type="dxa"/>
                </w:tcPr>
                <w:p>
                  <w:pPr>
                    <w:rPr>
                      <w:color w:val="000000" w:themeColor="text1"/>
                      <w:szCs w:val="21"/>
                    </w:rPr>
                  </w:pPr>
                  <w:r>
                    <w:rPr>
                      <w:rFonts w:hint="eastAsia"/>
                      <w:color w:val="000000" w:themeColor="text1"/>
                      <w:szCs w:val="21"/>
                    </w:rPr>
                    <w:t>0</w:t>
                  </w:r>
                </w:p>
              </w:tc>
              <w:tc>
                <w:tcPr>
                  <w:tcW w:w="1292" w:type="dxa"/>
                </w:tcPr>
                <w:p>
                  <w:pPr>
                    <w:rPr>
                      <w:rFonts w:hint="default" w:eastAsia="宋体"/>
                      <w:color w:val="000000" w:themeColor="text1"/>
                      <w:szCs w:val="21"/>
                      <w:lang w:val="en-US" w:eastAsia="zh-CN"/>
                    </w:rPr>
                  </w:pPr>
                  <w:r>
                    <w:rPr>
                      <w:rFonts w:hint="eastAsia"/>
                      <w:color w:val="000000" w:themeColor="text1"/>
                      <w:szCs w:val="21"/>
                      <w:lang w:val="en-US" w:eastAsia="zh-CN"/>
                    </w:rPr>
                    <w:t>65</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《组织知识控制程序》、</w:t>
            </w:r>
            <w:r>
              <w:rPr>
                <w:rFonts w:hint="eastAsia"/>
              </w:rPr>
              <w:sym w:font="Wingdings" w:char="00FE"/>
            </w:r>
            <w:r>
              <w:rPr>
                <w:rFonts w:hint="eastAsia"/>
              </w:rPr>
              <w:t>手册第7.1.6条款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spacing w:line="400" w:lineRule="exact"/>
                  </w:pPr>
                  <w:r>
                    <w:rPr>
                      <w:rFonts w:hint="eastAsia"/>
                    </w:rPr>
                    <w:t>生产管理及运行所需的知识（经验、 教训等）等，包括：</w:t>
                  </w:r>
                </w:p>
                <w:p>
                  <w:r>
                    <w:rPr>
                      <w:rFonts w:hint="eastAsia"/>
                    </w:rPr>
                    <w:t>管理理念、管理方法、工作方法、 工艺成果、生产工艺流程、 工艺文件、 设备操作规程、 作业指导书、 检验规范、 检验方法、 图纸、 BOM表、组织内部人员的知识和经验、技能技艺、知识产权、产品故障分析。</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FE"/>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pPr>
                    <w:spacing w:line="400" w:lineRule="exact"/>
                  </w:pPr>
                  <w:r>
                    <w:rPr>
                      <w:rFonts w:hint="eastAsia"/>
                    </w:rPr>
                    <w:t>从顾客、供应商和合作伙伴获取的知识，产品质量控制文件等知识等，包括：</w:t>
                  </w:r>
                </w:p>
                <w:p>
                  <w:pPr>
                    <w:spacing w:line="400" w:lineRule="exact"/>
                  </w:pPr>
                  <w:r>
                    <w:rPr>
                      <w:rFonts w:hint="eastAsia"/>
                    </w:rPr>
                    <w:t>与产品有关的国际标准、国家标准、行业标准和地方标准；与产品有关的环境、职业健康安全管理等方面的法律、法规和其他方面的要求。</w:t>
                  </w:r>
                </w:p>
                <w:p>
                  <w:pPr>
                    <w:spacing w:line="400" w:lineRule="exact"/>
                  </w:pPr>
                  <w:r>
                    <w:rPr>
                      <w:rFonts w:hint="eastAsia"/>
                    </w:rPr>
                    <w:t>从客户、政府、供应商、竞争对手等相关方获取的产品质量标准、环境标准和职业健康安全标准、先进的生产技术、管理方法、管理理念及其他们对产品和企业的期望。</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highlight w:val="yellow"/>
              </w:rPr>
            </w:pPr>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themeColor="text1"/>
                <w:szCs w:val="18"/>
              </w:rPr>
              <w:t>，于</w:t>
            </w:r>
            <w:r>
              <w:rPr>
                <w:rFonts w:hint="eastAsia"/>
                <w:color w:val="000000" w:themeColor="text1"/>
                <w:szCs w:val="18"/>
                <w:u w:val="single"/>
              </w:rPr>
              <w:t xml:space="preserve"> 20</w:t>
            </w:r>
            <w:r>
              <w:rPr>
                <w:rFonts w:hint="eastAsia"/>
                <w:color w:val="000000" w:themeColor="text1"/>
                <w:szCs w:val="18"/>
                <w:u w:val="single"/>
                <w:lang w:val="en-US" w:eastAsia="zh-CN"/>
              </w:rPr>
              <w:t>20</w:t>
            </w:r>
            <w:r>
              <w:rPr>
                <w:color w:val="000000" w:themeColor="text1"/>
                <w:szCs w:val="18"/>
                <w:u w:val="single"/>
              </w:rPr>
              <w:t xml:space="preserve"> </w:t>
            </w:r>
            <w:r>
              <w:rPr>
                <w:rFonts w:hint="eastAsia"/>
                <w:color w:val="000000" w:themeColor="text1"/>
                <w:szCs w:val="18"/>
              </w:rPr>
              <w:t>年</w:t>
            </w:r>
            <w:r>
              <w:rPr>
                <w:rFonts w:hint="eastAsia"/>
                <w:color w:val="000000" w:themeColor="text1"/>
                <w:szCs w:val="18"/>
                <w:u w:val="single"/>
              </w:rPr>
              <w:t xml:space="preserve"> 1</w:t>
            </w:r>
            <w:r>
              <w:rPr>
                <w:color w:val="000000" w:themeColor="text1"/>
                <w:szCs w:val="18"/>
                <w:u w:val="single"/>
              </w:rPr>
              <w:t xml:space="preserve"> </w:t>
            </w:r>
            <w:r>
              <w:rPr>
                <w:rFonts w:hint="eastAsia"/>
                <w:color w:val="000000" w:themeColor="text1"/>
                <w:szCs w:val="18"/>
              </w:rPr>
              <w:t>月</w:t>
            </w:r>
            <w:r>
              <w:rPr>
                <w:rFonts w:hint="eastAsia"/>
                <w:color w:val="000000" w:themeColor="text1"/>
                <w:szCs w:val="18"/>
                <w:u w:val="single"/>
              </w:rPr>
              <w:t xml:space="preserve"> </w:t>
            </w:r>
            <w:r>
              <w:rPr>
                <w:rFonts w:hint="eastAsia"/>
                <w:color w:val="000000" w:themeColor="text1"/>
                <w:szCs w:val="18"/>
                <w:u w:val="single"/>
                <w:lang w:val="en-US" w:eastAsia="zh-CN"/>
              </w:rPr>
              <w:t>15</w:t>
            </w:r>
            <w:r>
              <w:rPr>
                <w:color w:val="000000" w:themeColor="text1"/>
                <w:szCs w:val="18"/>
                <w:u w:val="single"/>
              </w:rPr>
              <w:t xml:space="preserve"> </w:t>
            </w:r>
            <w:r>
              <w:rPr>
                <w:rFonts w:hint="eastAsia"/>
                <w:color w:val="000000" w:themeColor="text1"/>
                <w:szCs w:val="18"/>
              </w:rPr>
              <w:t>日实施</w:t>
            </w:r>
            <w:r>
              <w:rPr>
                <w:rFonts w:hint="eastAsia"/>
                <w:color w:val="000000"/>
                <w:szCs w:val="18"/>
              </w:rPr>
              <w:t>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color w:val="000000"/>
                      <w:szCs w:val="21"/>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总质量目标已完成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20</w:t>
                  </w:r>
                  <w:r>
                    <w:rPr>
                      <w:rFonts w:hint="eastAsia"/>
                      <w:color w:val="000000"/>
                      <w:szCs w:val="21"/>
                      <w:lang w:val="en-US" w:eastAsia="zh-CN"/>
                    </w:rPr>
                    <w:t>20</w:t>
                  </w:r>
                  <w:r>
                    <w:rPr>
                      <w:rFonts w:hint="eastAsia"/>
                      <w:color w:val="000000"/>
                      <w:szCs w:val="21"/>
                    </w:rPr>
                    <w:t>年产品检验合格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w:t>
                  </w:r>
                  <w:r>
                    <w:rPr>
                      <w:rFonts w:hint="eastAsia"/>
                      <w:color w:val="000000"/>
                      <w:szCs w:val="21"/>
                      <w:lang w:val="en-US" w:eastAsia="zh-CN"/>
                    </w:rPr>
                    <w:t>20</w:t>
                  </w:r>
                  <w:r>
                    <w:rPr>
                      <w:rFonts w:hint="eastAsia"/>
                      <w:color w:val="000000"/>
                      <w:szCs w:val="21"/>
                    </w:rPr>
                    <w:t>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提高生产自动化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990" w:type="dxa"/>
                </w:tcPr>
                <w:p>
                  <w:pPr>
                    <w:widowControl/>
                    <w:spacing w:before="40"/>
                    <w:jc w:val="left"/>
                    <w:rPr>
                      <w:color w:val="000000"/>
                      <w:szCs w:val="21"/>
                    </w:rPr>
                  </w:pP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szCs w:val="18"/>
                    </w:rPr>
                    <w:t>管理评审输出信息</w:t>
                  </w:r>
                </w:p>
              </w:tc>
              <w:tc>
                <w:tcPr>
                  <w:tcW w:w="4620" w:type="dxa"/>
                </w:tcPr>
                <w:p>
                  <w:pPr>
                    <w:widowControl/>
                    <w:spacing w:before="40"/>
                    <w:jc w:val="left"/>
                    <w:rPr>
                      <w:color w:val="000000" w:themeColor="text1"/>
                      <w:szCs w:val="21"/>
                    </w:rPr>
                  </w:pPr>
                  <w:r>
                    <w:rPr>
                      <w:rFonts w:hint="eastAsia"/>
                      <w:color w:val="000000" w:themeColor="text1"/>
                      <w:szCs w:val="21"/>
                    </w:rPr>
                    <w:t>措施描述（</w:t>
                  </w:r>
                  <w:r>
                    <w:rPr>
                      <w:rFonts w:hint="eastAsia"/>
                      <w:b/>
                      <w:bCs/>
                      <w:color w:val="000000" w:themeColor="text1"/>
                      <w:szCs w:val="21"/>
                    </w:rPr>
                    <w:t>举例</w:t>
                  </w:r>
                  <w:r>
                    <w:rPr>
                      <w:rFonts w:hint="eastAsia"/>
                      <w:color w:val="000000" w:themeColor="text1"/>
                      <w:szCs w:val="21"/>
                    </w:rPr>
                    <w:t>）</w:t>
                  </w:r>
                </w:p>
              </w:tc>
              <w:tc>
                <w:tcPr>
                  <w:tcW w:w="2496" w:type="dxa"/>
                </w:tcPr>
                <w:p>
                  <w:pPr>
                    <w:widowControl/>
                    <w:spacing w:before="40"/>
                    <w:jc w:val="left"/>
                    <w:rPr>
                      <w:color w:val="000000" w:themeColor="text1"/>
                      <w:szCs w:val="21"/>
                    </w:rPr>
                  </w:pPr>
                  <w:r>
                    <w:rPr>
                      <w:rFonts w:hint="eastAsia"/>
                      <w:color w:val="000000" w:themeColor="text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改进的机会</w:t>
                  </w:r>
                </w:p>
              </w:tc>
              <w:tc>
                <w:tcPr>
                  <w:tcW w:w="4620" w:type="dxa"/>
                </w:tcPr>
                <w:p>
                  <w:pPr>
                    <w:widowControl/>
                    <w:spacing w:before="40"/>
                    <w:jc w:val="left"/>
                    <w:rPr>
                      <w:color w:val="000000" w:themeColor="text1"/>
                      <w:szCs w:val="21"/>
                    </w:rPr>
                  </w:pPr>
                  <w:r>
                    <w:rPr>
                      <w:rFonts w:hint="eastAsia"/>
                      <w:color w:val="000000" w:themeColor="text1"/>
                      <w:szCs w:val="21"/>
                    </w:rPr>
                    <w:t>提高生产自动化，改善产品质量</w:t>
                  </w:r>
                </w:p>
              </w:tc>
              <w:tc>
                <w:tcPr>
                  <w:tcW w:w="249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sym w:font="Wingdings 2" w:char="0052"/>
                  </w:r>
                  <w:r>
                    <w:rPr>
                      <w:rFonts w:hint="eastAsia"/>
                      <w:color w:val="000000" w:themeColor="text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质量管理体系所需的变更</w:t>
                  </w:r>
                </w:p>
              </w:tc>
              <w:tc>
                <w:tcPr>
                  <w:tcW w:w="4620" w:type="dxa"/>
                </w:tcPr>
                <w:p>
                  <w:pPr>
                    <w:widowControl/>
                    <w:spacing w:before="40"/>
                    <w:jc w:val="left"/>
                    <w:rPr>
                      <w:color w:val="000000" w:themeColor="text1"/>
                      <w:szCs w:val="21"/>
                    </w:rPr>
                  </w:pPr>
                  <w:r>
                    <w:rPr>
                      <w:rFonts w:hint="eastAsia"/>
                      <w:color w:val="000000" w:themeColor="text1"/>
                      <w:szCs w:val="21"/>
                    </w:rPr>
                    <w:t>加强管理体系的宣传</w:t>
                  </w:r>
                </w:p>
              </w:tc>
              <w:tc>
                <w:tcPr>
                  <w:tcW w:w="249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资源需求</w:t>
                  </w:r>
                </w:p>
              </w:tc>
              <w:tc>
                <w:tcPr>
                  <w:tcW w:w="4620" w:type="dxa"/>
                </w:tcPr>
                <w:p>
                  <w:pPr>
                    <w:widowControl/>
                    <w:spacing w:before="40"/>
                    <w:jc w:val="left"/>
                    <w:rPr>
                      <w:color w:val="000000" w:themeColor="text1"/>
                      <w:szCs w:val="21"/>
                    </w:rPr>
                  </w:pPr>
                </w:p>
              </w:tc>
              <w:tc>
                <w:tcPr>
                  <w:tcW w:w="2496" w:type="dxa"/>
                </w:tcPr>
                <w:p>
                  <w:pPr>
                    <w:widowControl/>
                    <w:spacing w:before="40"/>
                    <w:jc w:val="left"/>
                    <w:rPr>
                      <w:color w:val="000000" w:themeColor="text1"/>
                      <w:szCs w:val="21"/>
                    </w:rPr>
                  </w:pPr>
                  <w:r>
                    <w:rPr>
                      <w:rFonts w:hint="eastAsia"/>
                      <w:color w:val="000000" w:themeColor="text1"/>
                      <w:szCs w:val="21"/>
                    </w:rPr>
                    <w:sym w:font="Wingdings 2" w:char="0052"/>
                  </w:r>
                  <w:r>
                    <w:rPr>
                      <w:rFonts w:hint="eastAsia"/>
                      <w:color w:val="000000" w:themeColor="text1"/>
                    </w:rPr>
                    <w:t>已落实</w:t>
                  </w:r>
                  <w:r>
                    <w:rPr>
                      <w:rFonts w:hint="eastAsia"/>
                      <w:color w:val="000000" w:themeColor="text1"/>
                      <w:szCs w:val="21"/>
                    </w:rPr>
                    <w:t xml:space="preserve"> □</w:t>
                  </w:r>
                  <w:r>
                    <w:rPr>
                      <w:rFonts w:hint="eastAsia"/>
                      <w:color w:val="000000" w:themeColor="text1"/>
                    </w:rPr>
                    <w:t>已部分落实</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32E83675"/>
    <w:multiLevelType w:val="multilevel"/>
    <w:tmpl w:val="32E8367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405F18"/>
    <w:multiLevelType w:val="multilevel"/>
    <w:tmpl w:val="54405F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27CFD"/>
    <w:rsid w:val="0003373A"/>
    <w:rsid w:val="000400E2"/>
    <w:rsid w:val="00040B40"/>
    <w:rsid w:val="00054404"/>
    <w:rsid w:val="00062E46"/>
    <w:rsid w:val="0006388D"/>
    <w:rsid w:val="0009264B"/>
    <w:rsid w:val="000B21C8"/>
    <w:rsid w:val="000C1B6A"/>
    <w:rsid w:val="000D376D"/>
    <w:rsid w:val="000D4B06"/>
    <w:rsid w:val="000E6B21"/>
    <w:rsid w:val="00104DC9"/>
    <w:rsid w:val="00107F99"/>
    <w:rsid w:val="00124801"/>
    <w:rsid w:val="00140B46"/>
    <w:rsid w:val="00152883"/>
    <w:rsid w:val="001576A4"/>
    <w:rsid w:val="001613B1"/>
    <w:rsid w:val="00163949"/>
    <w:rsid w:val="00174999"/>
    <w:rsid w:val="0019474A"/>
    <w:rsid w:val="001950B3"/>
    <w:rsid w:val="001A2607"/>
    <w:rsid w:val="001A2D7F"/>
    <w:rsid w:val="001B15AF"/>
    <w:rsid w:val="001F05AB"/>
    <w:rsid w:val="001F05ED"/>
    <w:rsid w:val="0021362B"/>
    <w:rsid w:val="00221D6C"/>
    <w:rsid w:val="00226F5E"/>
    <w:rsid w:val="00230A8A"/>
    <w:rsid w:val="00241128"/>
    <w:rsid w:val="00252120"/>
    <w:rsid w:val="002939AD"/>
    <w:rsid w:val="002955F8"/>
    <w:rsid w:val="002A4899"/>
    <w:rsid w:val="002B5153"/>
    <w:rsid w:val="00314AF6"/>
    <w:rsid w:val="00326FC7"/>
    <w:rsid w:val="00333738"/>
    <w:rsid w:val="00334820"/>
    <w:rsid w:val="00337922"/>
    <w:rsid w:val="00340867"/>
    <w:rsid w:val="0034330B"/>
    <w:rsid w:val="00363719"/>
    <w:rsid w:val="00363B2F"/>
    <w:rsid w:val="00380837"/>
    <w:rsid w:val="003A198A"/>
    <w:rsid w:val="003C6C7F"/>
    <w:rsid w:val="003E6540"/>
    <w:rsid w:val="003E7AFD"/>
    <w:rsid w:val="00402365"/>
    <w:rsid w:val="00410914"/>
    <w:rsid w:val="00461363"/>
    <w:rsid w:val="00481CF7"/>
    <w:rsid w:val="0048201E"/>
    <w:rsid w:val="00482117"/>
    <w:rsid w:val="00483340"/>
    <w:rsid w:val="004844BC"/>
    <w:rsid w:val="004914D3"/>
    <w:rsid w:val="0050246D"/>
    <w:rsid w:val="00520062"/>
    <w:rsid w:val="00520A0B"/>
    <w:rsid w:val="00536930"/>
    <w:rsid w:val="005409A6"/>
    <w:rsid w:val="00547BFD"/>
    <w:rsid w:val="00564E53"/>
    <w:rsid w:val="0057302C"/>
    <w:rsid w:val="0057560B"/>
    <w:rsid w:val="005918CB"/>
    <w:rsid w:val="005A272F"/>
    <w:rsid w:val="005D096A"/>
    <w:rsid w:val="005D5659"/>
    <w:rsid w:val="005D74E9"/>
    <w:rsid w:val="005E20F1"/>
    <w:rsid w:val="005E6873"/>
    <w:rsid w:val="00600C20"/>
    <w:rsid w:val="006026E3"/>
    <w:rsid w:val="00606116"/>
    <w:rsid w:val="0060758E"/>
    <w:rsid w:val="006133A1"/>
    <w:rsid w:val="0062738F"/>
    <w:rsid w:val="0063279F"/>
    <w:rsid w:val="00644FE2"/>
    <w:rsid w:val="0064751A"/>
    <w:rsid w:val="00650138"/>
    <w:rsid w:val="00652C92"/>
    <w:rsid w:val="006550E9"/>
    <w:rsid w:val="0067640C"/>
    <w:rsid w:val="00693D07"/>
    <w:rsid w:val="00696185"/>
    <w:rsid w:val="006A2626"/>
    <w:rsid w:val="006C0EB2"/>
    <w:rsid w:val="006E59AE"/>
    <w:rsid w:val="006E678B"/>
    <w:rsid w:val="006E7B1D"/>
    <w:rsid w:val="00707B8A"/>
    <w:rsid w:val="007116C9"/>
    <w:rsid w:val="00715555"/>
    <w:rsid w:val="007504D2"/>
    <w:rsid w:val="007757F3"/>
    <w:rsid w:val="00792035"/>
    <w:rsid w:val="007A707A"/>
    <w:rsid w:val="007B5370"/>
    <w:rsid w:val="007C1B48"/>
    <w:rsid w:val="007E3B15"/>
    <w:rsid w:val="007E4EB1"/>
    <w:rsid w:val="007E6AEB"/>
    <w:rsid w:val="007F456E"/>
    <w:rsid w:val="0081628A"/>
    <w:rsid w:val="00826429"/>
    <w:rsid w:val="00832FBA"/>
    <w:rsid w:val="0083559E"/>
    <w:rsid w:val="00843362"/>
    <w:rsid w:val="00856B0D"/>
    <w:rsid w:val="00865758"/>
    <w:rsid w:val="0087419F"/>
    <w:rsid w:val="00883B0C"/>
    <w:rsid w:val="008973EE"/>
    <w:rsid w:val="008A0A62"/>
    <w:rsid w:val="008B5B52"/>
    <w:rsid w:val="008C6CE1"/>
    <w:rsid w:val="008D0533"/>
    <w:rsid w:val="00913FC9"/>
    <w:rsid w:val="00942FC7"/>
    <w:rsid w:val="00957DDC"/>
    <w:rsid w:val="0096410F"/>
    <w:rsid w:val="00966FF4"/>
    <w:rsid w:val="00971600"/>
    <w:rsid w:val="0098419E"/>
    <w:rsid w:val="00986DA9"/>
    <w:rsid w:val="009973B4"/>
    <w:rsid w:val="009A07D7"/>
    <w:rsid w:val="009A64CA"/>
    <w:rsid w:val="009C28C1"/>
    <w:rsid w:val="009F194A"/>
    <w:rsid w:val="009F357D"/>
    <w:rsid w:val="009F5EE3"/>
    <w:rsid w:val="009F7EED"/>
    <w:rsid w:val="00A134F5"/>
    <w:rsid w:val="00A368E3"/>
    <w:rsid w:val="00A5136C"/>
    <w:rsid w:val="00A561A2"/>
    <w:rsid w:val="00A656AE"/>
    <w:rsid w:val="00A7390A"/>
    <w:rsid w:val="00A80636"/>
    <w:rsid w:val="00A85431"/>
    <w:rsid w:val="00A862BF"/>
    <w:rsid w:val="00AA74F2"/>
    <w:rsid w:val="00AB0A29"/>
    <w:rsid w:val="00AF0AAB"/>
    <w:rsid w:val="00B218CA"/>
    <w:rsid w:val="00B31CAB"/>
    <w:rsid w:val="00B31FB2"/>
    <w:rsid w:val="00B524DD"/>
    <w:rsid w:val="00B5638B"/>
    <w:rsid w:val="00B638AC"/>
    <w:rsid w:val="00B94BCA"/>
    <w:rsid w:val="00BA12C6"/>
    <w:rsid w:val="00BB441E"/>
    <w:rsid w:val="00BD2121"/>
    <w:rsid w:val="00BE1024"/>
    <w:rsid w:val="00BE6591"/>
    <w:rsid w:val="00BF2AE2"/>
    <w:rsid w:val="00BF597E"/>
    <w:rsid w:val="00BF70CC"/>
    <w:rsid w:val="00C33B74"/>
    <w:rsid w:val="00C51A36"/>
    <w:rsid w:val="00C55228"/>
    <w:rsid w:val="00C55EBC"/>
    <w:rsid w:val="00C63768"/>
    <w:rsid w:val="00CB1F88"/>
    <w:rsid w:val="00CC12E3"/>
    <w:rsid w:val="00CC3218"/>
    <w:rsid w:val="00CE315A"/>
    <w:rsid w:val="00D04C87"/>
    <w:rsid w:val="00D052F9"/>
    <w:rsid w:val="00D06F59"/>
    <w:rsid w:val="00D10BF8"/>
    <w:rsid w:val="00D11FA6"/>
    <w:rsid w:val="00D2392F"/>
    <w:rsid w:val="00D30045"/>
    <w:rsid w:val="00D52CFF"/>
    <w:rsid w:val="00D54A45"/>
    <w:rsid w:val="00D82240"/>
    <w:rsid w:val="00D8388C"/>
    <w:rsid w:val="00DA422B"/>
    <w:rsid w:val="00DB6ED2"/>
    <w:rsid w:val="00DE51B2"/>
    <w:rsid w:val="00E16139"/>
    <w:rsid w:val="00E27F9A"/>
    <w:rsid w:val="00E6224C"/>
    <w:rsid w:val="00EB0164"/>
    <w:rsid w:val="00EB3BA5"/>
    <w:rsid w:val="00EB64DF"/>
    <w:rsid w:val="00EC65E5"/>
    <w:rsid w:val="00ED0F62"/>
    <w:rsid w:val="00EE4BEA"/>
    <w:rsid w:val="00EE609C"/>
    <w:rsid w:val="00F1069E"/>
    <w:rsid w:val="00F47A3F"/>
    <w:rsid w:val="00F57FB8"/>
    <w:rsid w:val="00F727B2"/>
    <w:rsid w:val="00FA05AF"/>
    <w:rsid w:val="00FB264F"/>
    <w:rsid w:val="00FB4DF6"/>
    <w:rsid w:val="00FC304B"/>
    <w:rsid w:val="00FC7CA1"/>
    <w:rsid w:val="00FE1EEC"/>
    <w:rsid w:val="00FE6AC8"/>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4FE07AC"/>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408E4"/>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AAB1ACE"/>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13730F"/>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9B6650"/>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05F90"/>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D6FFD"/>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7FF7039"/>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193021"/>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纯文本 Char"/>
    <w:link w:val="3"/>
    <w:qFormat/>
    <w:uiPriority w:val="0"/>
    <w:rPr>
      <w:rFonts w:ascii="宋体" w:hAnsi="Courier New"/>
      <w:kern w:val="2"/>
      <w:sz w:val="21"/>
    </w:rPr>
  </w:style>
  <w:style w:type="character" w:customStyle="1" w:styleId="15">
    <w:name w:val="纯文本 Char1"/>
    <w:basedOn w:val="9"/>
    <w:link w:val="3"/>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1163</Words>
  <Characters>6631</Characters>
  <Lines>55</Lines>
  <Paragraphs>15</Paragraphs>
  <TotalTime>10</TotalTime>
  <ScaleCrop>false</ScaleCrop>
  <LinksUpToDate>false</LinksUpToDate>
  <CharactersWithSpaces>7779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2020-06-18T08:22:23Z</dcterms:modified>
  <cp:revision>609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