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受审核部门：领导层</w:t>
            </w:r>
            <w:r>
              <w:rPr>
                <w:sz w:val="24"/>
                <w:szCs w:val="24"/>
              </w:rPr>
              <w:t xml:space="preserve">    </w:t>
            </w:r>
            <w:r>
              <w:rPr>
                <w:rFonts w:hint="eastAsia"/>
                <w:color w:val="000000" w:themeColor="text1"/>
                <w:sz w:val="24"/>
                <w:szCs w:val="24"/>
                <w14:textFill>
                  <w14:solidFill>
                    <w14:schemeClr w14:val="tx1"/>
                  </w14:solidFill>
                </w14:textFill>
              </w:rPr>
              <w:t>陪同人员：</w:t>
            </w:r>
            <w:r>
              <w:rPr>
                <w:rFonts w:hint="eastAsia"/>
                <w:kern w:val="0"/>
                <w:sz w:val="22"/>
              </w:rPr>
              <w:t>吴哲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eastAsia" w:eastAsia="宋体"/>
                <w:sz w:val="24"/>
                <w:szCs w:val="24"/>
                <w:lang w:val="en-US" w:eastAsia="zh-CN"/>
              </w:rPr>
            </w:pPr>
            <w:r>
              <w:rPr>
                <w:rFonts w:hint="eastAsia"/>
                <w:sz w:val="24"/>
                <w:szCs w:val="24"/>
              </w:rPr>
              <w:t xml:space="preserve">审核员： </w:t>
            </w:r>
            <w:r>
              <w:rPr>
                <w:rFonts w:hint="eastAsia"/>
                <w:sz w:val="24"/>
                <w:szCs w:val="24"/>
                <w:lang w:val="en-US" w:eastAsia="zh-CN"/>
              </w:rPr>
              <w:t>张磊</w:t>
            </w:r>
          </w:p>
          <w:p>
            <w:pPr>
              <w:spacing w:before="120"/>
              <w:rPr>
                <w:rFonts w:hint="default" w:eastAsia="宋体"/>
                <w:lang w:val="en-US" w:eastAsia="zh-CN"/>
              </w:rPr>
            </w:pPr>
            <w:r>
              <w:rPr>
                <w:rFonts w:hint="eastAsia"/>
                <w:sz w:val="24"/>
                <w:szCs w:val="24"/>
              </w:rPr>
              <w:t>审核日期：2020-06-2（远程）</w:t>
            </w:r>
            <w:r>
              <w:rPr>
                <w:rFonts w:hint="eastAsia"/>
                <w:szCs w:val="22"/>
              </w:rPr>
              <w:t>2020-06-8~11（现场）</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rFonts w:hint="default" w:eastAsia="宋体"/>
                <w:sz w:val="24"/>
                <w:szCs w:val="24"/>
                <w:lang w:val="en-US" w:eastAsia="zh-CN"/>
              </w:rPr>
            </w:pPr>
            <w:r>
              <w:rPr>
                <w:rFonts w:hint="eastAsia"/>
                <w:sz w:val="24"/>
                <w:szCs w:val="24"/>
              </w:rPr>
              <w:t>审核条款：</w:t>
            </w:r>
            <w:r>
              <w:rPr>
                <w:rFonts w:hint="default"/>
                <w:sz w:val="21"/>
                <w:szCs w:val="21"/>
                <w:lang w:val="en-US" w:eastAsia="zh-CN"/>
              </w:rPr>
              <w:t>OHS:</w:t>
            </w:r>
            <w:r>
              <w:rPr>
                <w:rFonts w:hint="default"/>
                <w:sz w:val="21"/>
                <w:szCs w:val="21"/>
                <w:lang w:val="en-US"/>
              </w:rPr>
              <w:t>4.1/4.2/4.3/4.4/5.1/5.2/5.3/5.4/6.1</w:t>
            </w:r>
            <w:r>
              <w:rPr>
                <w:rFonts w:hint="eastAsia"/>
                <w:sz w:val="21"/>
                <w:szCs w:val="21"/>
                <w:lang w:val="en-US" w:eastAsia="zh-CN"/>
              </w:rPr>
              <w:t>.1</w:t>
            </w:r>
            <w:r>
              <w:rPr>
                <w:rFonts w:hint="default"/>
                <w:sz w:val="21"/>
                <w:szCs w:val="21"/>
                <w:lang w:val="en-US"/>
              </w:rPr>
              <w:t>/</w:t>
            </w:r>
            <w:r>
              <w:rPr>
                <w:rFonts w:hint="eastAsia"/>
                <w:sz w:val="21"/>
                <w:szCs w:val="21"/>
                <w:lang w:val="en-US" w:eastAsia="zh-CN"/>
              </w:rPr>
              <w:t>6.1.2/6.1.3/6.1.4/</w:t>
            </w:r>
            <w:r>
              <w:rPr>
                <w:rFonts w:hint="default"/>
                <w:sz w:val="21"/>
                <w:szCs w:val="21"/>
                <w:lang w:val="en-US" w:eastAsia="zh-CN"/>
              </w:rPr>
              <w:t>6.2/7.1/7.</w:t>
            </w:r>
            <w:r>
              <w:rPr>
                <w:rFonts w:hint="eastAsia"/>
                <w:sz w:val="21"/>
                <w:szCs w:val="21"/>
                <w:lang w:val="en-US" w:eastAsia="zh-CN"/>
              </w:rPr>
              <w:t>3</w:t>
            </w:r>
            <w:r>
              <w:rPr>
                <w:rFonts w:hint="default"/>
                <w:sz w:val="21"/>
                <w:szCs w:val="21"/>
                <w:lang w:val="en-US" w:eastAsia="zh-CN"/>
              </w:rPr>
              <w:t>/</w:t>
            </w:r>
            <w:r>
              <w:rPr>
                <w:rFonts w:hint="eastAsia"/>
                <w:sz w:val="21"/>
                <w:szCs w:val="21"/>
                <w:lang w:val="en-US" w:eastAsia="zh-CN"/>
              </w:rPr>
              <w:t>8.1.1/8.1.3/</w:t>
            </w:r>
            <w:r>
              <w:rPr>
                <w:rFonts w:hint="default"/>
                <w:sz w:val="21"/>
                <w:szCs w:val="21"/>
                <w:lang w:val="en-US"/>
              </w:rPr>
              <w:t>9.1.1/9.3/10.1/10.3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rPr>
            </w:pPr>
            <w:r>
              <w:rPr>
                <w:rFonts w:hint="eastAsia"/>
              </w:rPr>
              <w:t>理解组织及其</w:t>
            </w:r>
            <w:r>
              <w:rPr>
                <w:rFonts w:hint="eastAsia"/>
                <w:lang w:val="en-US" w:eastAsia="zh-CN"/>
              </w:rPr>
              <w:t>所处的</w:t>
            </w:r>
            <w:r>
              <w:rPr>
                <w:rFonts w:hint="eastAsia"/>
              </w:rPr>
              <w:t>环境</w:t>
            </w:r>
          </w:p>
          <w:p>
            <w:pPr>
              <w:rPr>
                <w:rFonts w:hint="eastAsia"/>
              </w:rPr>
            </w:pPr>
          </w:p>
        </w:tc>
        <w:tc>
          <w:tcPr>
            <w:tcW w:w="960" w:type="dxa"/>
            <w:vMerge w:val="restart"/>
          </w:tcPr>
          <w:p>
            <w:r>
              <w:rPr>
                <w:rFonts w:hint="eastAsia"/>
                <w:lang w:val="en-US" w:eastAsia="zh-CN"/>
              </w:rPr>
              <w:t>O</w:t>
            </w:r>
            <w:r>
              <w:rPr>
                <w:rFonts w:hint="eastAsia"/>
              </w:rPr>
              <w:t xml:space="preserve">4.1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eastAsia="宋体"/>
                <w:lang w:val="en-US" w:eastAsia="zh-CN"/>
              </w:rPr>
            </w:pPr>
            <w:r>
              <w:rPr>
                <w:rFonts w:hint="eastAsia"/>
                <w:lang w:val="en-US" w:eastAsia="zh-CN"/>
              </w:rPr>
              <w:t>如：《公司环境分析控制程序》、管理手册第4.1章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 与最高管理者沟通：</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外部议题</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法律法规 </w:t>
                  </w:r>
                  <w:r>
                    <w:rPr>
                      <w:rFonts w:hint="eastAsia"/>
                      <w:color w:val="auto"/>
                      <w:highlight w:val="none"/>
                      <w:lang w:eastAsia="zh-CN"/>
                    </w:rPr>
                    <w:t>☑</w:t>
                  </w:r>
                  <w:r>
                    <w:rPr>
                      <w:rFonts w:hint="eastAsia"/>
                      <w:color w:val="auto"/>
                      <w:highlight w:val="none"/>
                      <w:vertAlign w:val="baseline"/>
                      <w:lang w:val="en-US" w:eastAsia="zh-CN"/>
                    </w:rPr>
                    <w:t xml:space="preserve">技术 </w:t>
                  </w:r>
                  <w:r>
                    <w:rPr>
                      <w:rFonts w:hint="eastAsia"/>
                      <w:color w:val="auto"/>
                      <w:highlight w:val="none"/>
                      <w:lang w:eastAsia="zh-CN"/>
                    </w:rPr>
                    <w:t>☑</w:t>
                  </w:r>
                  <w:r>
                    <w:rPr>
                      <w:rFonts w:hint="eastAsia"/>
                      <w:color w:val="auto"/>
                      <w:highlight w:val="none"/>
                      <w:vertAlign w:val="baseline"/>
                      <w:lang w:val="en-US" w:eastAsia="zh-CN"/>
                    </w:rPr>
                    <w:t xml:space="preserve">竞争 </w:t>
                  </w:r>
                  <w:r>
                    <w:rPr>
                      <w:rFonts w:hint="eastAsia"/>
                      <w:color w:val="auto"/>
                      <w:highlight w:val="none"/>
                      <w:lang w:eastAsia="zh-CN"/>
                    </w:rPr>
                    <w:t>☑</w:t>
                  </w:r>
                  <w:r>
                    <w:rPr>
                      <w:rFonts w:hint="eastAsia"/>
                      <w:color w:val="auto"/>
                      <w:highlight w:val="none"/>
                      <w:vertAlign w:val="baseline"/>
                      <w:lang w:val="en-US" w:eastAsia="zh-CN"/>
                    </w:rPr>
                    <w:t xml:space="preserve">政治环境 </w:t>
                  </w:r>
                  <w:r>
                    <w:rPr>
                      <w:rFonts w:hint="eastAsia"/>
                      <w:color w:val="auto"/>
                      <w:highlight w:val="none"/>
                      <w:lang w:eastAsia="zh-CN"/>
                    </w:rPr>
                    <w:t>☑</w:t>
                  </w:r>
                  <w:r>
                    <w:rPr>
                      <w:rFonts w:hint="eastAsia"/>
                      <w:color w:val="auto"/>
                      <w:highlight w:val="none"/>
                      <w:vertAlign w:val="baseline"/>
                      <w:lang w:val="en-US" w:eastAsia="zh-CN"/>
                    </w:rPr>
                    <w:t xml:space="preserve">文化 </w:t>
                  </w:r>
                  <w:r>
                    <w:rPr>
                      <w:rFonts w:hint="eastAsia"/>
                      <w:color w:val="auto"/>
                      <w:highlight w:val="none"/>
                      <w:lang w:eastAsia="zh-CN"/>
                    </w:rPr>
                    <w:t>☑</w:t>
                  </w:r>
                  <w:r>
                    <w:rPr>
                      <w:rFonts w:hint="eastAsia"/>
                      <w:color w:val="auto"/>
                      <w:highlight w:val="none"/>
                      <w:vertAlign w:val="baseline"/>
                      <w:lang w:val="en-US" w:eastAsia="zh-CN"/>
                    </w:rPr>
                    <w:t xml:space="preserve">社会 </w:t>
                  </w:r>
                  <w:r>
                    <w:rPr>
                      <w:rFonts w:hint="eastAsia"/>
                      <w:color w:val="auto"/>
                      <w:highlight w:val="none"/>
                      <w:lang w:eastAsia="zh-CN"/>
                    </w:rPr>
                    <w:t>☑</w:t>
                  </w:r>
                  <w:r>
                    <w:rPr>
                      <w:rFonts w:hint="eastAsia"/>
                      <w:color w:val="auto"/>
                      <w:highlight w:val="none"/>
                      <w:vertAlign w:val="baseline"/>
                      <w:lang w:val="en-US" w:eastAsia="zh-CN"/>
                    </w:rPr>
                    <w:t xml:space="preserve">自然环境 </w:t>
                  </w:r>
                  <w:r>
                    <w:rPr>
                      <w:rFonts w:hint="eastAsia"/>
                      <w:color w:val="auto"/>
                      <w:highlight w:val="none"/>
                      <w:lang w:eastAsia="zh-CN"/>
                    </w:rPr>
                    <w:t>□</w:t>
                  </w:r>
                  <w:r>
                    <w:rPr>
                      <w:rFonts w:hint="eastAsia"/>
                      <w:color w:val="auto"/>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列举主要的内容</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中药饮片厂数量多，竞争大。且安环法律法规越来越严格、监管力度加大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内部议题</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价值观  </w:t>
                  </w:r>
                  <w:r>
                    <w:rPr>
                      <w:rFonts w:hint="eastAsia"/>
                      <w:color w:val="auto"/>
                      <w:highlight w:val="none"/>
                      <w:lang w:eastAsia="zh-CN"/>
                    </w:rPr>
                    <w:t>☑</w:t>
                  </w:r>
                  <w:r>
                    <w:rPr>
                      <w:rFonts w:hint="eastAsia"/>
                      <w:color w:val="auto"/>
                      <w:highlight w:val="none"/>
                      <w:vertAlign w:val="baseline"/>
                      <w:lang w:val="en-US" w:eastAsia="zh-CN"/>
                    </w:rPr>
                    <w:t xml:space="preserve">文化  </w:t>
                  </w:r>
                  <w:r>
                    <w:rPr>
                      <w:rFonts w:hint="eastAsia"/>
                      <w:color w:val="auto"/>
                      <w:highlight w:val="none"/>
                      <w:lang w:eastAsia="zh-CN"/>
                    </w:rPr>
                    <w:t>☑</w:t>
                  </w:r>
                  <w:r>
                    <w:rPr>
                      <w:rFonts w:hint="eastAsia"/>
                      <w:color w:val="auto"/>
                      <w:highlight w:val="none"/>
                      <w:vertAlign w:val="baseline"/>
                      <w:lang w:val="en-US" w:eastAsia="zh-CN"/>
                    </w:rPr>
                    <w:t xml:space="preserve">知识 </w:t>
                  </w:r>
                  <w:r>
                    <w:rPr>
                      <w:rFonts w:hint="eastAsia"/>
                      <w:color w:val="auto"/>
                      <w:highlight w:val="none"/>
                      <w:lang w:eastAsia="zh-CN"/>
                    </w:rPr>
                    <w:t>☑</w:t>
                  </w:r>
                  <w:r>
                    <w:rPr>
                      <w:rFonts w:hint="eastAsia"/>
                      <w:color w:val="auto"/>
                      <w:highlight w:val="none"/>
                      <w:vertAlign w:val="baseline"/>
                      <w:lang w:val="en-US" w:eastAsia="zh-CN"/>
                    </w:rPr>
                    <w:t xml:space="preserve">绩效 </w:t>
                  </w:r>
                  <w:r>
                    <w:rPr>
                      <w:rFonts w:hint="eastAsia"/>
                      <w:color w:val="auto"/>
                      <w:highlight w:val="none"/>
                      <w:lang w:eastAsia="zh-CN"/>
                    </w:rPr>
                    <w:t>☑</w:t>
                  </w:r>
                  <w:r>
                    <w:rPr>
                      <w:rFonts w:hint="eastAsia"/>
                      <w:color w:val="auto"/>
                      <w:highlight w:val="none"/>
                      <w:lang w:val="en-US" w:eastAsia="zh-CN"/>
                    </w:rPr>
                    <w:t>财务</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资源 </w:t>
                  </w:r>
                  <w:r>
                    <w:rPr>
                      <w:rFonts w:hint="eastAsia"/>
                      <w:color w:val="auto"/>
                      <w:highlight w:val="none"/>
                      <w:lang w:eastAsia="zh-CN"/>
                    </w:rPr>
                    <w:t>☑</w:t>
                  </w:r>
                  <w:r>
                    <w:rPr>
                      <w:rFonts w:hint="eastAsia"/>
                      <w:color w:val="auto"/>
                      <w:highlight w:val="none"/>
                      <w:vertAlign w:val="baseline"/>
                      <w:lang w:val="en-US" w:eastAsia="zh-CN"/>
                    </w:rPr>
                    <w:t xml:space="preserve">运营 </w:t>
                  </w:r>
                  <w:r>
                    <w:rPr>
                      <w:rFonts w:hint="eastAsia"/>
                      <w:color w:val="auto"/>
                      <w:highlight w:val="none"/>
                    </w:rPr>
                    <w:t>□</w:t>
                  </w:r>
                  <w:r>
                    <w:rPr>
                      <w:rFonts w:hint="eastAsia"/>
                      <w:color w:val="auto"/>
                      <w:highlight w:val="none"/>
                      <w:lang w:val="en-US" w:eastAsia="zh-CN"/>
                    </w:rPr>
                    <w:t>其他</w:t>
                  </w:r>
                  <w:r>
                    <w:rPr>
                      <w:rFonts w:hint="eastAsia"/>
                      <w:color w:val="auto"/>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列举主要的内容</w:t>
                  </w:r>
                </w:p>
              </w:tc>
              <w:tc>
                <w:tcPr>
                  <w:tcW w:w="7375" w:type="dxa"/>
                  <w:vAlign w:val="top"/>
                </w:tcPr>
                <w:p>
                  <w:pPr>
                    <w:rPr>
                      <w:rFonts w:ascii="宋体" w:cs="宋体"/>
                      <w:szCs w:val="21"/>
                    </w:rPr>
                  </w:pPr>
                  <w:r>
                    <w:rPr>
                      <w:rFonts w:hint="eastAsia" w:ascii="宋体" w:hAnsi="宋体" w:cs="宋体"/>
                      <w:szCs w:val="21"/>
                    </w:rPr>
                    <w:t>厂房：符合中药饮片的生产（限资质范围内）产品的生产。</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szCs w:val="21"/>
                      <w:highlight w:val="none"/>
                      <w:lang w:val="en-US" w:eastAsia="zh-CN"/>
                    </w:rPr>
                    <w:t>组织优势说明</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b w:val="0"/>
                      <w:bCs w:val="0"/>
                      <w:color w:val="auto"/>
                      <w:kern w:val="2"/>
                      <w:sz w:val="21"/>
                      <w:highlight w:val="none"/>
                      <w:lang w:val="en-US" w:eastAsia="zh-CN" w:bidi="ar-SA"/>
                    </w:rPr>
                  </w:pPr>
                  <w:r>
                    <w:rPr>
                      <w:rFonts w:hint="eastAsia" w:ascii="宋体" w:hAnsi="宋体" w:cs="宋体"/>
                      <w:szCs w:val="21"/>
                    </w:rPr>
                    <w:t>公司配置先进检测设备，能够完全满足检验要求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szCs w:val="21"/>
                      <w:highlight w:val="none"/>
                      <w:lang w:val="en-US" w:eastAsia="zh-CN"/>
                    </w:rPr>
                    <w:t>组织劣势说明</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color w:val="auto"/>
                      <w:kern w:val="2"/>
                      <w:sz w:val="21"/>
                      <w:highlight w:val="none"/>
                      <w:lang w:val="en-US" w:eastAsia="zh-CN" w:bidi="ar-SA"/>
                    </w:rPr>
                  </w:pPr>
                  <w:r>
                    <w:rPr>
                      <w:rFonts w:hint="eastAsia" w:cs="Times New Roman"/>
                      <w:b w:val="0"/>
                      <w:bCs w:val="0"/>
                      <w:color w:val="auto"/>
                      <w:kern w:val="2"/>
                      <w:sz w:val="21"/>
                      <w:highlight w:val="none"/>
                      <w:lang w:val="en-US" w:eastAsia="zh-CN" w:bidi="ar-SA"/>
                    </w:rPr>
                    <w:t>食品安全风险大,竞争压力大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szCs w:val="21"/>
                      <w:highlight w:val="none"/>
                      <w:lang w:val="en-US" w:eastAsia="zh-CN"/>
                    </w:rPr>
                    <w:t>主要风险的说明</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color w:val="auto"/>
                      <w:kern w:val="2"/>
                      <w:sz w:val="21"/>
                      <w:highlight w:val="none"/>
                      <w:lang w:val="en-US" w:eastAsia="zh-CN" w:bidi="ar-SA"/>
                    </w:rPr>
                  </w:pPr>
                  <w:r>
                    <w:rPr>
                      <w:rFonts w:hint="eastAsia"/>
                      <w:b w:val="0"/>
                      <w:bCs w:val="0"/>
                      <w:color w:val="auto"/>
                      <w:highlight w:val="none"/>
                      <w:lang w:val="en-US" w:eastAsia="zh-CN"/>
                    </w:rPr>
                    <w:t>触电伤害、火灾事故、粉尘的排放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szCs w:val="21"/>
                      <w:highlight w:val="none"/>
                      <w:lang w:val="en-US" w:eastAsia="zh-CN"/>
                    </w:rPr>
                    <w:t>机遇的说明</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color w:val="auto"/>
                      <w:kern w:val="2"/>
                      <w:sz w:val="21"/>
                      <w:highlight w:val="none"/>
                      <w:lang w:val="en-US" w:eastAsia="zh-CN" w:bidi="ar-SA"/>
                    </w:rPr>
                  </w:pPr>
                  <w:r>
                    <w:rPr>
                      <w:rFonts w:hint="eastAsia"/>
                      <w:b w:val="0"/>
                      <w:bCs w:val="0"/>
                      <w:color w:val="auto"/>
                      <w:highlight w:val="none"/>
                      <w:lang w:val="en-US" w:eastAsia="zh-CN"/>
                    </w:rPr>
                    <w:t>与同类企业相比职业健康安全控制强</w:t>
                  </w:r>
                </w:p>
              </w:tc>
            </w:tr>
          </w:tbl>
          <w:p>
            <w:pPr>
              <w:rPr>
                <w:rFonts w:hint="eastAsia"/>
                <w:color w:val="000000"/>
                <w:szCs w:val="21"/>
                <w:lang w:val="en-US" w:eastAsia="zh-CN"/>
              </w:rPr>
            </w:pPr>
          </w:p>
          <w:p>
            <w:pPr>
              <w:rPr>
                <w:rFonts w:hint="default"/>
                <w:color w:val="000000"/>
                <w:szCs w:val="21"/>
                <w:lang w:val="en-US" w:eastAsia="zh-CN"/>
              </w:rPr>
            </w:pPr>
            <w:r>
              <w:rPr>
                <w:rFonts w:hint="eastAsia"/>
                <w:color w:val="auto"/>
                <w:szCs w:val="21"/>
                <w:lang w:val="en-US" w:eastAsia="zh-CN"/>
              </w:rPr>
              <w:t>主要证据体现在</w:t>
            </w:r>
            <w:r>
              <w:rPr>
                <w:rFonts w:hint="eastAsia"/>
                <w:color w:val="auto"/>
                <w:lang w:val="en-US" w:eastAsia="zh-CN"/>
              </w:rPr>
              <w:t xml:space="preserve"> </w:t>
            </w:r>
            <w:r>
              <w:rPr>
                <w:rFonts w:hint="eastAsia"/>
                <w:color w:val="auto"/>
                <w:lang w:val="en-US" w:eastAsia="zh-CN"/>
              </w:rPr>
              <w:sym w:font="Wingdings" w:char="00FE"/>
            </w:r>
            <w:r>
              <w:rPr>
                <w:rFonts w:hint="eastAsia"/>
                <w:color w:val="auto"/>
                <w:lang w:val="en-US" w:eastAsia="zh-CN"/>
              </w:rPr>
              <w:t xml:space="preserve">《组织内外部环境因素识别表》  </w:t>
            </w:r>
            <w:r>
              <w:rPr>
                <w:rFonts w:hint="eastAsia"/>
                <w:color w:val="auto"/>
                <w:lang w:val="en-US" w:eastAsia="zh-CN"/>
              </w:rPr>
              <w:sym w:font="Wingdings" w:char="00A8"/>
            </w:r>
            <w:r>
              <w:rPr>
                <w:rFonts w:hint="eastAsia"/>
                <w:color w:val="auto"/>
                <w:lang w:val="en-US" w:eastAsia="zh-CN"/>
              </w:rPr>
              <w:t xml:space="preserve">《年度业务计划》 </w:t>
            </w:r>
            <w:r>
              <w:rPr>
                <w:rFonts w:hint="eastAsia"/>
                <w:color w:val="auto"/>
                <w:lang w:val="en-US" w:eastAsia="zh-CN"/>
              </w:rPr>
              <w:sym w:font="Wingdings" w:char="00A8"/>
            </w:r>
            <w:r>
              <w:rPr>
                <w:rFonts w:hint="eastAsia"/>
                <w:color w:val="auto"/>
                <w:lang w:val="en-US" w:eastAsia="zh-CN"/>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ascii="Arial" w:hAnsi="Arial"/>
              </w:rPr>
            </w:pPr>
            <w:bookmarkStart w:id="0" w:name="_Toc17985659"/>
            <w:r>
              <w:rPr>
                <w:rFonts w:hint="eastAsia" w:ascii="Arial" w:hAnsi="Arial"/>
              </w:rPr>
              <w:t>理解工作人员和其他相关方的需求和期望</w:t>
            </w:r>
            <w:bookmarkEnd w:id="0"/>
          </w:p>
          <w:p>
            <w:pPr>
              <w:rPr>
                <w:rFonts w:hint="eastAsia" w:ascii="Arial" w:hAnsi="Arial"/>
              </w:rPr>
            </w:pPr>
          </w:p>
        </w:tc>
        <w:tc>
          <w:tcPr>
            <w:tcW w:w="960" w:type="dxa"/>
            <w:vMerge w:val="restart"/>
          </w:tcPr>
          <w:p>
            <w:r>
              <w:rPr>
                <w:rFonts w:hint="eastAsia"/>
                <w:lang w:val="en-US" w:eastAsia="zh-CN"/>
              </w:rPr>
              <w:t>O</w:t>
            </w:r>
            <w:r>
              <w:rPr>
                <w:rFonts w:hint="eastAsia"/>
              </w:rPr>
              <w:t xml:space="preserve">4.2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如：管理手册第4.2章</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 </w:t>
            </w:r>
          </w:p>
          <w:tbl>
            <w:tblPr>
              <w:tblStyle w:val="8"/>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主管部门</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t>经济开发区</w:t>
                  </w:r>
                  <w:r>
                    <w:rPr>
                      <w:rFonts w:hint="eastAsia"/>
                      <w:color w:val="auto"/>
                      <w:szCs w:val="22"/>
                      <w:highlight w:val="none"/>
                      <w:vertAlign w:val="baseline"/>
                      <w:lang w:val="en-US" w:eastAsia="zh-CN"/>
                    </w:rPr>
                    <w:t>应急管理局</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供方</w:t>
                  </w:r>
                </w:p>
              </w:tc>
              <w:tc>
                <w:tcPr>
                  <w:tcW w:w="2495"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rPr>
                    <w:t>例如：</w:t>
                  </w:r>
                  <w:r>
                    <w:rPr>
                      <w:rFonts w:hint="eastAsia"/>
                      <w:color w:val="auto"/>
                      <w:highlight w:val="none"/>
                      <w:lang w:val="en-US" w:eastAsia="zh-CN"/>
                    </w:rPr>
                    <w:t>陕西兴庆中药科技有限公司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顾客</w:t>
                  </w:r>
                </w:p>
              </w:tc>
              <w:tc>
                <w:tcPr>
                  <w:tcW w:w="2495"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rPr>
                    <w:t>例如：</w:t>
                  </w:r>
                  <w:r>
                    <w:rPr>
                      <w:rFonts w:hint="eastAsia"/>
                      <w:color w:val="auto"/>
                      <w:highlight w:val="none"/>
                      <w:lang w:val="en-US" w:eastAsia="zh-CN"/>
                    </w:rPr>
                    <w:t>陕西昊源中药饮片有限公司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w:t>
                  </w:r>
                  <w:r>
                    <w:rPr>
                      <w:rFonts w:hint="eastAsia"/>
                      <w:color w:val="auto"/>
                      <w:highlight w:val="none"/>
                      <w:vertAlign w:val="baseline"/>
                      <w:lang w:val="en-US" w:eastAsia="zh-CN"/>
                    </w:rPr>
                    <w:t>按时按质按量交付产品或服务；</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审核机构</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1D41D5"/>
                      <w:kern w:val="2"/>
                      <w:sz w:val="21"/>
                      <w:highlight w:val="none"/>
                      <w:vertAlign w:val="baseline"/>
                      <w:lang w:val="en-US" w:eastAsia="zh-CN" w:bidi="ar-SA"/>
                    </w:rPr>
                  </w:pP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r>
                    <w:rPr>
                      <w:rFonts w:hint="eastAsia"/>
                      <w:color w:val="auto"/>
                      <w:highlight w:val="none"/>
                      <w:lang w:val="en-US" w:eastAsia="zh-CN"/>
                    </w:rPr>
                    <w:t>承包方</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1D41D5"/>
                      <w:kern w:val="2"/>
                      <w:sz w:val="21"/>
                      <w:highlight w:val="none"/>
                      <w:vertAlign w:val="baseline"/>
                      <w:lang w:val="en-US" w:eastAsia="zh-CN" w:bidi="ar-SA"/>
                    </w:rPr>
                  </w:pP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主要证据体现在</w:t>
            </w:r>
            <w:r>
              <w:rPr>
                <w:rFonts w:hint="eastAsia"/>
                <w:lang w:val="en-US" w:eastAsia="zh-CN"/>
              </w:rPr>
              <w:t xml:space="preserve"> </w:t>
            </w:r>
            <w:r>
              <w:rPr>
                <w:rFonts w:hint="eastAsia"/>
                <w:lang w:val="en-US" w:eastAsia="zh-CN"/>
              </w:rPr>
              <w:sym w:font="Wingdings" w:char="00FE"/>
            </w:r>
            <w:r>
              <w:rPr>
                <w:rFonts w:hint="eastAsia"/>
                <w:lang w:val="en-US" w:eastAsia="zh-CN"/>
              </w:rPr>
              <w:t xml:space="preserve">《相关方及要求与期望清单》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p>
            <w:pPr>
              <w:rPr>
                <w:rFonts w:hint="eastAsia"/>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w:t>
            </w:r>
            <w:r>
              <w:rPr>
                <w:rFonts w:hint="eastAsia"/>
                <w:highlight w:val="none"/>
                <w:vertAlign w:val="baseline"/>
                <w:lang w:val="en-US" w:eastAsia="zh-CN"/>
              </w:rPr>
              <w:t>职业健康安全</w:t>
            </w:r>
            <w:r>
              <w:rPr>
                <w:rFonts w:hint="eastAsia"/>
              </w:rPr>
              <w:t>管理体系的范围</w:t>
            </w:r>
          </w:p>
        </w:tc>
        <w:tc>
          <w:tcPr>
            <w:tcW w:w="960" w:type="dxa"/>
            <w:vMerge w:val="restart"/>
          </w:tcPr>
          <w:p>
            <w:r>
              <w:rPr>
                <w:rFonts w:hint="eastAsia"/>
                <w:lang w:val="en-US" w:eastAsia="zh-CN"/>
              </w:rPr>
              <w:t>O</w:t>
            </w:r>
            <w:r>
              <w:rPr>
                <w:rFonts w:hint="eastAsia"/>
              </w:rPr>
              <w:t>4.3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rPr>
            </w:pPr>
            <w:r>
              <w:rPr>
                <w:rFonts w:hint="eastAsia"/>
                <w:lang w:val="en-US" w:eastAsia="zh-CN"/>
              </w:rPr>
              <w:t>如：管理手册第4.2章和“公司介绍”</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vertAlign w:val="baseline"/>
                <w:lang w:val="en-US" w:eastAsia="zh-CN"/>
              </w:rPr>
            </w:pPr>
            <w:r>
              <w:rPr>
                <w:rFonts w:hint="eastAsia"/>
                <w:vertAlign w:val="baseline"/>
                <w:lang w:val="en-US" w:eastAsia="zh-CN"/>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117"/>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范围的项目</w:t>
                  </w:r>
                </w:p>
              </w:tc>
              <w:tc>
                <w:tcPr>
                  <w:tcW w:w="4117" w:type="dxa"/>
                </w:tcPr>
                <w:p>
                  <w:pPr>
                    <w:rPr>
                      <w:rFonts w:hint="default"/>
                      <w:vertAlign w:val="baseline"/>
                      <w:lang w:val="en-US" w:eastAsia="zh-CN"/>
                    </w:rPr>
                  </w:pPr>
                  <w:r>
                    <w:rPr>
                      <w:rFonts w:hint="eastAsia"/>
                      <w:vertAlign w:val="baseline"/>
                      <w:lang w:val="en-US" w:eastAsia="zh-CN"/>
                    </w:rPr>
                    <w:t>内容描述</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产品/服务的活动</w:t>
                  </w:r>
                </w:p>
              </w:tc>
              <w:tc>
                <w:tcPr>
                  <w:tcW w:w="4117" w:type="dxa"/>
                </w:tcPr>
                <w:p>
                  <w:pPr>
                    <w:rPr>
                      <w:rFonts w:hint="eastAsia"/>
                      <w:vertAlign w:val="baseline"/>
                      <w:lang w:val="en-US" w:eastAsia="zh-CN"/>
                    </w:rPr>
                  </w:pPr>
                  <w:r>
                    <w:rPr>
                      <w:rFonts w:hint="eastAsia" w:ascii="宋体" w:hAnsi="宋体"/>
                      <w:szCs w:val="21"/>
                    </w:rPr>
                    <w:t xml:space="preserve">中药饮片的生产（限资质范围内）所涉及的相关职业健康安全管理活动 </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经营地址</w:t>
                  </w:r>
                </w:p>
              </w:tc>
              <w:tc>
                <w:tcPr>
                  <w:tcW w:w="4117" w:type="dxa"/>
                </w:tcPr>
                <w:p>
                  <w:pPr>
                    <w:rPr>
                      <w:rFonts w:hint="eastAsia"/>
                      <w:vertAlign w:val="baseline"/>
                      <w:lang w:val="en-US" w:eastAsia="zh-CN"/>
                    </w:rPr>
                  </w:pPr>
                  <w:bookmarkStart w:id="1" w:name="生产地址"/>
                  <w:r>
                    <w:t>亳州芜湖现代产业园区茴香路269号</w:t>
                  </w:r>
                  <w:bookmarkEnd w:id="1"/>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组织单元（部门/分支）</w:t>
                  </w:r>
                </w:p>
              </w:tc>
              <w:tc>
                <w:tcPr>
                  <w:tcW w:w="4117" w:type="dxa"/>
                </w:tcPr>
                <w:p>
                  <w:pPr>
                    <w:rPr>
                      <w:rFonts w:hint="eastAsia"/>
                      <w:lang w:val="en-US" w:eastAsia="zh-CN"/>
                    </w:rPr>
                  </w:pPr>
                  <w:r>
                    <w:rPr>
                      <w:rFonts w:hint="eastAsia"/>
                      <w:lang w:val="en-US" w:eastAsia="zh-CN"/>
                    </w:rPr>
                    <w:sym w:font="Wingdings" w:char="00FE"/>
                  </w:r>
                  <w:r>
                    <w:rPr>
                      <w:rFonts w:hint="eastAsia"/>
                      <w:lang w:val="en-US" w:eastAsia="zh-CN"/>
                    </w:rPr>
                    <w:t>与组织结构图一致</w:t>
                  </w:r>
                </w:p>
                <w:p>
                  <w:pPr>
                    <w:rPr>
                      <w:rFonts w:hint="default"/>
                      <w:u w:val="single"/>
                      <w:lang w:val="en-US" w:eastAsia="zh-CN"/>
                    </w:rPr>
                  </w:pPr>
                  <w:r>
                    <w:rPr>
                      <w:rFonts w:hint="eastAsia"/>
                      <w:lang w:val="en-US" w:eastAsia="zh-CN"/>
                    </w:rPr>
                    <w:sym w:font="Wingdings" w:char="00A8"/>
                  </w:r>
                  <w:r>
                    <w:rPr>
                      <w:rFonts w:hint="eastAsia"/>
                      <w:lang w:val="en-US" w:eastAsia="zh-CN"/>
                    </w:rPr>
                    <w:t xml:space="preserve">分支机构，如： </w:t>
                  </w:r>
                  <w:r>
                    <w:rPr>
                      <w:rFonts w:hint="eastAsia"/>
                      <w:u w:val="single"/>
                      <w:lang w:val="en-US" w:eastAsia="zh-CN"/>
                    </w:rPr>
                    <w:t xml:space="preserve">                  </w:t>
                  </w:r>
                </w:p>
                <w:p>
                  <w:pPr>
                    <w:rPr>
                      <w:rFonts w:hint="default"/>
                      <w:vertAlign w:val="baseline"/>
                      <w:lang w:val="en-US" w:eastAsia="zh-CN"/>
                    </w:rPr>
                  </w:pPr>
                  <w:r>
                    <w:rPr>
                      <w:rFonts w:hint="eastAsia"/>
                      <w:lang w:val="en-US" w:eastAsia="zh-CN"/>
                    </w:rPr>
                    <w:sym w:font="Wingdings" w:char="00A8"/>
                  </w:r>
                  <w:r>
                    <w:rPr>
                      <w:rFonts w:hint="eastAsia"/>
                      <w:lang w:val="en-US" w:eastAsia="zh-CN"/>
                    </w:rPr>
                    <w:t xml:space="preserve">临时场所，如： </w:t>
                  </w:r>
                  <w:r>
                    <w:rPr>
                      <w:rFonts w:hint="eastAsia"/>
                      <w:u w:val="single"/>
                      <w:lang w:val="en-US" w:eastAsia="zh-CN"/>
                    </w:rPr>
                    <w:t xml:space="preserve">                 </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时间</w:t>
                  </w:r>
                </w:p>
              </w:tc>
              <w:tc>
                <w:tcPr>
                  <w:tcW w:w="4117" w:type="dxa"/>
                </w:tcPr>
                <w:p>
                  <w:pPr>
                    <w:rPr>
                      <w:rFonts w:hint="default"/>
                      <w:lang w:val="en-US" w:eastAsia="zh-CN"/>
                    </w:rPr>
                  </w:pPr>
                  <w:r>
                    <w:rPr>
                      <w:rFonts w:hint="eastAsia"/>
                      <w:lang w:val="en-US" w:eastAsia="zh-CN"/>
                    </w:rPr>
                    <w:sym w:font="Wingdings" w:char="00FE"/>
                  </w:r>
                  <w:r>
                    <w:rPr>
                      <w:rFonts w:hint="eastAsia"/>
                      <w:lang w:val="en-US" w:eastAsia="zh-CN"/>
                    </w:rPr>
                    <w:t xml:space="preserve"> 体系建立以来</w:t>
                  </w:r>
                </w:p>
                <w:p>
                  <w:pPr>
                    <w:rPr>
                      <w:rFonts w:hint="eastAsia"/>
                      <w:vertAlign w:val="baseline"/>
                      <w:lang w:val="en-US" w:eastAsia="zh-CN"/>
                    </w:rPr>
                  </w:pPr>
                  <w:r>
                    <w:rPr>
                      <w:rFonts w:hint="eastAsia"/>
                      <w:lang w:val="en-US" w:eastAsia="zh-CN"/>
                    </w:rPr>
                    <w:sym w:font="Wingdings" w:char="00A8"/>
                  </w:r>
                </w:p>
              </w:tc>
              <w:tc>
                <w:tcPr>
                  <w:tcW w:w="3015" w:type="dxa"/>
                </w:tcPr>
                <w:p>
                  <w:pPr>
                    <w:rPr>
                      <w:rFonts w:hint="eastAsia"/>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rPr>
                <w:rFonts w:hint="default"/>
                <w:color w:val="000000"/>
                <w:szCs w:val="21"/>
                <w:lang w:val="en-US" w:eastAsia="zh-CN"/>
              </w:rPr>
            </w:pPr>
            <w:r>
              <w:rPr>
                <w:rFonts w:hint="eastAsia"/>
                <w:color w:val="000000"/>
                <w:szCs w:val="21"/>
                <w:lang w:val="en-US" w:eastAsia="zh-CN"/>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2" w:name="_Toc17985661"/>
            <w:r>
              <w:rPr>
                <w:rFonts w:hint="eastAsia" w:ascii="Arial" w:hAnsi="Arial"/>
              </w:rPr>
              <w:t>职业健康安全管理体系</w:t>
            </w:r>
            <w:bookmarkEnd w:id="2"/>
          </w:p>
        </w:tc>
        <w:tc>
          <w:tcPr>
            <w:tcW w:w="960" w:type="dxa"/>
            <w:vMerge w:val="restart"/>
          </w:tcPr>
          <w:p>
            <w:r>
              <w:rPr>
                <w:rFonts w:hint="eastAsia"/>
                <w:lang w:val="en-US" w:eastAsia="zh-CN"/>
              </w:rPr>
              <w:t>O</w:t>
            </w:r>
            <w:r>
              <w:rPr>
                <w:rFonts w:hint="eastAsia"/>
              </w:rPr>
              <w:t xml:space="preserve">4.4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如：管理手册第4.4章和《风险和机遇评估分析表》</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suppressLineNumbers w:val="0"/>
              <w:spacing w:before="40" w:beforeAutospacing="0" w:after="40" w:afterAutospacing="0" w:line="240" w:lineRule="auto"/>
              <w:ind w:left="0" w:right="0"/>
              <w:rPr>
                <w:rFonts w:hint="eastAsia"/>
                <w:vertAlign w:val="baseline"/>
                <w:lang w:val="en-GB" w:eastAsia="zh-CN"/>
              </w:rPr>
            </w:pPr>
            <w:r>
              <w:rPr>
                <w:rFonts w:hint="eastAsia"/>
                <w:vertAlign w:val="baseline"/>
                <w:lang w:val="en-US" w:eastAsia="zh-CN"/>
              </w:rPr>
              <w:t>组织考虑了内外部问题和相关方期望对环境管理体系的过程进行了确认，对输入、输出、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影响运行的重要</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不必全选</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消防安全控制</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 xml:space="preserve">用电安全控制 </w:t>
            </w:r>
            <w:r>
              <w:rPr>
                <w:rFonts w:hint="eastAsia"/>
                <w:highlight w:val="none"/>
                <w:lang w:eastAsia="zh-CN"/>
              </w:rPr>
              <w:t>☑</w:t>
            </w:r>
            <w:r>
              <w:rPr>
                <w:rFonts w:hint="eastAsia"/>
                <w:highlight w:val="none"/>
                <w:vertAlign w:val="baseline"/>
                <w:lang w:val="en-US" w:eastAsia="zh-CN"/>
              </w:rPr>
              <w:t xml:space="preserve">人员能力管理 </w:t>
            </w:r>
            <w:r>
              <w:rPr>
                <w:rFonts w:hint="eastAsia"/>
                <w:highlight w:val="none"/>
              </w:rPr>
              <w:t>□</w:t>
            </w:r>
            <w:r>
              <w:rPr>
                <w:rFonts w:hint="eastAsia"/>
                <w:highlight w:val="none"/>
                <w:vertAlign w:val="baseline"/>
                <w:lang w:val="en-US" w:eastAsia="zh-CN"/>
              </w:rPr>
              <w:t xml:space="preserve">危化品管理 </w:t>
            </w:r>
            <w:r>
              <w:rPr>
                <w:rFonts w:hint="eastAsia"/>
                <w:highlight w:val="none"/>
                <w:lang w:eastAsia="zh-CN"/>
              </w:rPr>
              <w:t>☑</w:t>
            </w:r>
            <w:r>
              <w:rPr>
                <w:rFonts w:hint="eastAsia"/>
                <w:highlight w:val="none"/>
                <w:vertAlign w:val="baseline"/>
                <w:lang w:val="en-US" w:eastAsia="zh-CN"/>
              </w:rPr>
              <w:t xml:space="preserve">特种设备管理 </w:t>
            </w:r>
            <w:r>
              <w:rPr>
                <w:rFonts w:hint="eastAsia"/>
                <w:highlight w:val="none"/>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 xml:space="preserve">放射线探伤   </w:t>
            </w:r>
            <w:r>
              <w:rPr>
                <w:rFonts w:hint="eastAsia"/>
                <w:highlight w:val="none"/>
                <w:lang w:eastAsia="zh-CN"/>
              </w:rPr>
              <w:t>☑</w:t>
            </w:r>
            <w:r>
              <w:rPr>
                <w:rFonts w:hint="eastAsia"/>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影响体系运行的外包</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根据实际情况选择</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建筑施工</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危化品贮存 </w:t>
            </w:r>
            <w:r>
              <w:rPr>
                <w:rFonts w:hint="eastAsia"/>
                <w:highlight w:val="none"/>
              </w:rPr>
              <w:t>□</w:t>
            </w:r>
            <w:r>
              <w:rPr>
                <w:rFonts w:hint="eastAsia"/>
                <w:highlight w:val="none"/>
                <w:vertAlign w:val="baseline"/>
                <w:lang w:val="en-US" w:eastAsia="zh-CN"/>
              </w:rPr>
              <w:t xml:space="preserve">XXX加工过程 </w:t>
            </w:r>
            <w:r>
              <w:rPr>
                <w:rFonts w:hint="eastAsia"/>
                <w:highlight w:val="none"/>
                <w:lang w:eastAsia="zh-CN"/>
              </w:rPr>
              <w:t>□</w:t>
            </w:r>
            <w:r>
              <w:rPr>
                <w:rFonts w:hint="eastAsia"/>
                <w:highlight w:val="none"/>
                <w:lang w:val="en-US" w:eastAsia="zh-CN"/>
              </w:rPr>
              <w:t>放射线探伤</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rPr>
                <w:rFonts w:hint="eastAsia"/>
                <w:highlight w:val="cyan"/>
              </w:rPr>
            </w:pPr>
            <w:r>
              <w:rPr>
                <w:rFonts w:hint="eastAsia"/>
                <w:highlight w:val="none"/>
                <w:lang w:val="en-GB" w:eastAsia="zh-CN"/>
              </w:rPr>
              <w:t>组织通过</w:t>
            </w:r>
            <w:r>
              <w:rPr>
                <w:rFonts w:hint="eastAsia" w:ascii="Arial" w:hAnsi="Arial"/>
              </w:rPr>
              <w:t>职业健康安全</w:t>
            </w:r>
            <w:r>
              <w:rPr>
                <w:rFonts w:hint="eastAsia"/>
                <w:highlight w:val="none"/>
                <w:lang w:val="en-GB" w:eastAsia="zh-CN"/>
              </w:rPr>
              <w:t>目标的建立、实施、</w:t>
            </w:r>
            <w:r>
              <w:rPr>
                <w:rFonts w:hint="eastAsia"/>
                <w:highlight w:val="none"/>
                <w:lang w:val="en-US" w:eastAsia="zh-CN"/>
              </w:rPr>
              <w:t>相关方反馈</w:t>
            </w:r>
            <w:r>
              <w:rPr>
                <w:rFonts w:hint="eastAsia"/>
                <w:highlight w:val="none"/>
                <w:lang w:val="en-GB" w:eastAsia="zh-CN"/>
              </w:rPr>
              <w:t>的</w:t>
            </w:r>
            <w:r>
              <w:rPr>
                <w:rFonts w:hint="eastAsia"/>
                <w:highlight w:val="none"/>
                <w:lang w:val="en-US" w:eastAsia="zh-CN"/>
              </w:rPr>
              <w:t>分析</w:t>
            </w:r>
            <w:r>
              <w:rPr>
                <w:rFonts w:hint="eastAsia"/>
                <w:highlight w:val="none"/>
                <w:lang w:val="en-GB" w:eastAsia="zh-CN"/>
              </w:rPr>
              <w:t>、内审和管理评审等方式，充分地</w:t>
            </w:r>
            <w:r>
              <w:rPr>
                <w:rFonts w:hint="eastAsia"/>
                <w:highlight w:val="none"/>
                <w:lang w:val="en-US" w:eastAsia="zh-CN"/>
              </w:rPr>
              <w:t>评审，管理及</w:t>
            </w:r>
            <w:r>
              <w:rPr>
                <w:rFonts w:hint="eastAsia"/>
                <w:highlight w:val="none"/>
                <w:lang w:val="en-GB" w:eastAsia="zh-CN"/>
              </w:rPr>
              <w:t>控制这些</w:t>
            </w:r>
            <w:r>
              <w:rPr>
                <w:rFonts w:hint="eastAsia" w:ascii="Arial" w:hAnsi="Arial"/>
              </w:rPr>
              <w:t>职业健康安全</w:t>
            </w:r>
            <w:r>
              <w:rPr>
                <w:rFonts w:hint="eastAsia"/>
                <w:highlight w:val="none"/>
                <w:lang w:val="en-US" w:eastAsia="zh-CN"/>
              </w:rPr>
              <w:t>管理体系覆盖的过程</w:t>
            </w:r>
            <w:r>
              <w:rPr>
                <w:rFonts w:hint="eastAsia"/>
                <w:highlight w:val="none"/>
                <w:lang w:val="en-GB" w:eastAsia="zh-CN"/>
              </w:rPr>
              <w:t>和活动</w:t>
            </w:r>
            <w:r>
              <w:rPr>
                <w:rFonts w:hint="eastAsia"/>
                <w:highlight w:val="none"/>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lang w:val="en-US" w:eastAsia="zh-CN"/>
              </w:rPr>
              <w:t>O</w:t>
            </w:r>
            <w:r>
              <w:rPr>
                <w:rFonts w:hint="eastAsia"/>
              </w:rPr>
              <w:t>5.1  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如：管理手册第5.1章和“总经理岗位职责”</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auto"/>
                <w:szCs w:val="21"/>
                <w:highlight w:val="none"/>
                <w:lang w:val="en-US" w:eastAsia="zh-CN"/>
              </w:rPr>
            </w:pPr>
            <w:r>
              <w:rPr>
                <w:rFonts w:hint="eastAsia"/>
                <w:color w:val="000000"/>
                <w:szCs w:val="21"/>
                <w:lang w:val="en-US" w:eastAsia="zh-CN"/>
              </w:rPr>
              <w:t xml:space="preserve"> </w:t>
            </w: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b/>
                <w:bCs/>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eastAsia"/>
                <w:b/>
                <w:bCs/>
                <w:color w:val="auto"/>
                <w:szCs w:val="21"/>
                <w:highlight w:val="none"/>
                <w:lang w:val="en-US" w:eastAsia="zh-CN"/>
              </w:rPr>
            </w:pPr>
          </w:p>
          <w:p>
            <w:pPr>
              <w:rPr>
                <w:rFonts w:hint="default"/>
                <w:color w:val="000000"/>
                <w:szCs w:val="21"/>
                <w:lang w:val="en-US" w:eastAsia="zh-CN"/>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 xml:space="preserve"> 未覆盖标准第5.1章的全面要求，缺少：</w:t>
            </w:r>
            <w:r>
              <w:rPr>
                <w:rFonts w:hint="eastAsia"/>
                <w:color w:val="auto"/>
                <w:szCs w:val="21"/>
                <w:highlight w:val="none"/>
                <w:u w:val="singl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职业健康安全方针</w:t>
            </w:r>
          </w:p>
        </w:tc>
        <w:tc>
          <w:tcPr>
            <w:tcW w:w="960" w:type="dxa"/>
            <w:vMerge w:val="restart"/>
          </w:tcPr>
          <w:p>
            <w:r>
              <w:rPr>
                <w:rFonts w:hint="eastAsia"/>
                <w:lang w:val="en-US" w:eastAsia="zh-CN"/>
              </w:rPr>
              <w:t>O</w:t>
            </w:r>
            <w:r>
              <w:rPr>
                <w:rFonts w:hint="eastAsia"/>
              </w:rPr>
              <w:t>5.2  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如：管理手册第5.2章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color w:val="000000"/>
                <w:szCs w:val="21"/>
                <w:lang w:val="en-US" w:eastAsia="zh-CN"/>
              </w:rPr>
              <w:t xml:space="preserve"> </w:t>
            </w:r>
            <w:r>
              <w:rPr>
                <w:rFonts w:hint="eastAsia"/>
                <w:vertAlign w:val="baseline"/>
              </w:rPr>
              <w:t>最高管理者制定</w:t>
            </w:r>
            <w:r>
              <w:rPr>
                <w:rFonts w:hint="eastAsia"/>
                <w:vertAlign w:val="baseline"/>
                <w:lang w:val="en-US" w:eastAsia="zh-CN"/>
              </w:rPr>
              <w:t>了文件化的</w:t>
            </w:r>
            <w:r>
              <w:rPr>
                <w:rFonts w:hint="eastAsia"/>
              </w:rPr>
              <w:t>职业健康安全</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single"/>
                <w:vertAlign w:val="baseline"/>
                <w:lang w:val="en-US" w:eastAsia="zh-CN"/>
              </w:rPr>
              <w:t xml:space="preserve">   质量第一 诚信为本 精益求精 不断创新 遵纪守法 节能降耗 预防污染 持续改进 消除隐患 保障安全 </w:t>
            </w:r>
          </w:p>
          <w:p>
            <w:pPr>
              <w:rPr>
                <w:rFonts w:hint="eastAsia"/>
              </w:rPr>
            </w:pPr>
            <w:r>
              <w:rPr>
                <w:rFonts w:hint="eastAsia"/>
                <w:shd w:val="clear"/>
                <w:lang w:eastAsia="zh-CN"/>
              </w:rPr>
              <w:t>☑</w:t>
            </w:r>
            <w:r>
              <w:rPr>
                <w:rFonts w:hint="eastAsia"/>
              </w:rPr>
              <w:t>包括为防止与工作相关的伤害和健康损害而提供安全和健康的工作条件的承诺，并适合于组织的宗旨和规模、组织所处的环境，以及组织</w:t>
            </w:r>
            <w:r>
              <w:t>的</w:t>
            </w:r>
            <w:r>
              <w:rPr>
                <w:rFonts w:hint="eastAsia"/>
              </w:rPr>
              <w:t>职业健康安全风险和职业健康安全机遇的特性</w:t>
            </w:r>
          </w:p>
          <w:p>
            <w:pPr>
              <w:rPr>
                <w:rFonts w:hint="eastAsia"/>
                <w:vertAlign w:val="baseline"/>
                <w:lang w:val="en-US" w:eastAsia="zh-CN"/>
              </w:rPr>
            </w:pPr>
            <w:r>
              <w:rPr>
                <w:rFonts w:hint="eastAsia"/>
                <w:shd w:val="clear"/>
                <w:lang w:eastAsia="zh-CN"/>
              </w:rPr>
              <w:t>☑</w:t>
            </w:r>
            <w:r>
              <w:rPr>
                <w:rFonts w:hint="eastAsia"/>
              </w:rPr>
              <w:t>包括为制定职业健康安全目标提供框架；</w:t>
            </w:r>
            <w:r>
              <w:rPr>
                <w:rFonts w:hint="eastAsia"/>
                <w:vertAlign w:val="baseline"/>
                <w:lang w:val="en-US" w:eastAsia="zh-CN"/>
              </w:rPr>
              <w:t xml:space="preserve"> </w:t>
            </w:r>
          </w:p>
          <w:p>
            <w:pPr>
              <w:rPr>
                <w:rFonts w:hint="eastAsia"/>
              </w:rPr>
            </w:pPr>
            <w:r>
              <w:rPr>
                <w:rFonts w:hint="eastAsia"/>
                <w:shd w:val="clear"/>
                <w:lang w:eastAsia="zh-CN"/>
              </w:rPr>
              <w:t>☑</w:t>
            </w:r>
            <w:r>
              <w:rPr>
                <w:rFonts w:hint="eastAsia"/>
              </w:rPr>
              <w:t>包括满足法律法规要求和其他要求的承诺</w:t>
            </w:r>
          </w:p>
          <w:p>
            <w:pPr>
              <w:rPr>
                <w:color w:val="000000"/>
                <w:spacing w:val="0"/>
                <w:w w:val="100"/>
                <w:position w:val="0"/>
              </w:rPr>
            </w:pPr>
            <w:r>
              <w:rPr>
                <w:rFonts w:hint="eastAsia"/>
                <w:shd w:val="clear"/>
                <w:lang w:eastAsia="zh-CN"/>
              </w:rPr>
              <w:t>☑</w:t>
            </w:r>
            <w:r>
              <w:rPr>
                <w:rFonts w:hint="eastAsia"/>
              </w:rPr>
              <w:t>包括消除危险源和降低职业健康安全风险的承诺</w:t>
            </w:r>
          </w:p>
          <w:p>
            <w:pPr>
              <w:rPr>
                <w:rFonts w:hint="eastAsia"/>
              </w:rPr>
            </w:pPr>
            <w:r>
              <w:rPr>
                <w:rFonts w:hint="eastAsia"/>
                <w:shd w:val="clear"/>
                <w:lang w:eastAsia="zh-CN"/>
              </w:rPr>
              <w:t>☑</w:t>
            </w:r>
            <w:r>
              <w:rPr>
                <w:rFonts w:hint="eastAsia"/>
              </w:rPr>
              <w:t>包括持续改进职业健康安全管理体系的承诺</w:t>
            </w:r>
          </w:p>
          <w:p>
            <w:pPr>
              <w:rPr>
                <w:rFonts w:hint="eastAsia"/>
              </w:rPr>
            </w:pPr>
            <w:r>
              <w:rPr>
                <w:rFonts w:hint="eastAsia"/>
                <w:shd w:val="clear"/>
                <w:lang w:eastAsia="zh-CN"/>
              </w:rPr>
              <w:t>☑</w:t>
            </w:r>
            <w:r>
              <w:rPr>
                <w:rFonts w:hint="eastAsia"/>
              </w:rPr>
              <w:t>包括工作人员及其代表（若有）的协商和参与的承诺</w:t>
            </w:r>
          </w:p>
          <w:p>
            <w:pPr>
              <w:rPr>
                <w:rFonts w:hint="eastAsia"/>
                <w:shd w:val="clear"/>
                <w:lang w:eastAsia="zh-CN"/>
              </w:rPr>
            </w:pPr>
          </w:p>
          <w:p>
            <w:pPr>
              <w:rPr>
                <w:rFonts w:hint="default"/>
                <w:color w:val="auto"/>
                <w:highlight w:val="none"/>
                <w:vertAlign w:val="baseline"/>
                <w:lang w:val="en-US" w:eastAsia="zh-CN"/>
              </w:rPr>
            </w:pPr>
            <w:r>
              <w:rPr>
                <w:rFonts w:hint="eastAsia"/>
                <w:color w:val="auto"/>
                <w:highlight w:val="none"/>
                <w:shd w:val="clear"/>
                <w:lang w:eastAsia="zh-CN"/>
              </w:rPr>
              <w:t>☑</w:t>
            </w:r>
            <w:r>
              <w:rPr>
                <w:rFonts w:hint="eastAsia"/>
                <w:color w:val="auto"/>
                <w:highlight w:val="none"/>
                <w:vertAlign w:val="baseline"/>
                <w:lang w:val="en-US" w:eastAsia="zh-CN"/>
              </w:rPr>
              <w:t>在组织内得到沟通、理解和应用，通过：</w:t>
            </w:r>
            <w:r>
              <w:rPr>
                <w:rFonts w:hint="eastAsia"/>
                <w:color w:val="auto"/>
                <w:highlight w:val="none"/>
                <w:lang w:val="en-US" w:eastAsia="zh-CN"/>
              </w:rPr>
              <w:sym w:font="Wingdings" w:char="00FE"/>
            </w:r>
            <w:r>
              <w:rPr>
                <w:rFonts w:hint="eastAsia"/>
                <w:color w:val="auto"/>
                <w:highlight w:val="none"/>
                <w:vertAlign w:val="baseline"/>
                <w:lang w:val="en-US" w:eastAsia="zh-CN"/>
              </w:rPr>
              <w:t>展板</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vertAlign w:val="baseline"/>
                <w:lang w:val="en-US" w:eastAsia="zh-CN"/>
              </w:rPr>
              <w:t>标语</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lang w:val="en-US" w:eastAsia="zh-CN"/>
              </w:rPr>
              <w:t xml:space="preserve">会议  </w:t>
            </w:r>
            <w:r>
              <w:rPr>
                <w:rFonts w:hint="eastAsia"/>
                <w:color w:val="auto"/>
                <w:highlight w:val="none"/>
                <w:lang w:val="en-US" w:eastAsia="zh-CN"/>
              </w:rPr>
              <w:sym w:font="Wingdings" w:char="00FE"/>
            </w:r>
            <w:r>
              <w:rPr>
                <w:rFonts w:hint="eastAsia"/>
                <w:color w:val="auto"/>
                <w:highlight w:val="none"/>
                <w:lang w:val="en-US" w:eastAsia="zh-CN"/>
              </w:rPr>
              <w:t xml:space="preserve">文件发放   </w:t>
            </w:r>
            <w:r>
              <w:rPr>
                <w:rFonts w:hint="eastAsia"/>
                <w:color w:val="auto"/>
                <w:highlight w:val="none"/>
                <w:lang w:val="en-US" w:eastAsia="zh-CN"/>
              </w:rPr>
              <w:sym w:font="Wingdings" w:char="00A8"/>
            </w:r>
            <w:r>
              <w:rPr>
                <w:rFonts w:hint="eastAsia"/>
                <w:color w:val="auto"/>
                <w:highlight w:val="none"/>
                <w:lang w:val="en-US" w:eastAsia="zh-CN"/>
              </w:rPr>
              <w:t>其他</w:t>
            </w:r>
            <w:r>
              <w:rPr>
                <w:rFonts w:hint="eastAsia"/>
                <w:color w:val="auto"/>
                <w:highlight w:val="none"/>
                <w:vertAlign w:val="baseline"/>
                <w:lang w:val="en-US" w:eastAsia="zh-CN"/>
              </w:rPr>
              <w:t xml:space="preserve">  </w:t>
            </w:r>
          </w:p>
          <w:p>
            <w:pPr>
              <w:rPr>
                <w:rFonts w:hint="default"/>
                <w:color w:val="auto"/>
                <w:highlight w:val="none"/>
                <w:vertAlign w:val="baseline"/>
                <w:lang w:val="en-US" w:eastAsia="zh-CN"/>
              </w:rPr>
            </w:pPr>
            <w:r>
              <w:rPr>
                <w:rFonts w:hint="eastAsia"/>
                <w:color w:val="auto"/>
                <w:highlight w:val="none"/>
                <w:shd w:val="clear"/>
                <w:lang w:eastAsia="zh-CN"/>
              </w:rPr>
              <w:t>☑</w:t>
            </w:r>
            <w:r>
              <w:rPr>
                <w:rFonts w:hint="eastAsia"/>
                <w:color w:val="auto"/>
                <w:highlight w:val="none"/>
                <w:vertAlign w:val="baseline"/>
                <w:lang w:val="en-US" w:eastAsia="zh-CN"/>
              </w:rPr>
              <w:t>在相关方有需要时提供。通过：</w:t>
            </w:r>
            <w:r>
              <w:rPr>
                <w:rFonts w:hint="eastAsia"/>
                <w:color w:val="auto"/>
                <w:highlight w:val="none"/>
                <w:lang w:val="en-US" w:eastAsia="zh-CN"/>
              </w:rPr>
              <w:sym w:font="Wingdings" w:char="00FE"/>
            </w:r>
            <w:r>
              <w:rPr>
                <w:rFonts w:hint="eastAsia"/>
                <w:color w:val="auto"/>
                <w:highlight w:val="none"/>
                <w:lang w:val="en-US" w:eastAsia="zh-CN"/>
              </w:rPr>
              <w:t xml:space="preserve">网站 </w:t>
            </w:r>
            <w:r>
              <w:rPr>
                <w:rFonts w:hint="eastAsia"/>
                <w:color w:val="auto"/>
                <w:highlight w:val="none"/>
                <w:lang w:val="en-US" w:eastAsia="zh-CN"/>
              </w:rPr>
              <w:sym w:font="Wingdings" w:char="00FE"/>
            </w:r>
            <w:r>
              <w:rPr>
                <w:rFonts w:hint="eastAsia"/>
                <w:color w:val="auto"/>
                <w:highlight w:val="none"/>
                <w:lang w:val="en-US" w:eastAsia="zh-CN"/>
              </w:rPr>
              <w:t xml:space="preserve">宣传册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vertAlign w:val="baselin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rPr>
            </w:pPr>
            <w:r>
              <w:rPr>
                <w:rFonts w:hint="eastAsia"/>
              </w:rPr>
              <w:t>组织的</w:t>
            </w:r>
            <w:r>
              <w:rPr>
                <w:rFonts w:hint="eastAsia"/>
                <w:lang w:val="en-US" w:eastAsia="zh-CN"/>
              </w:rPr>
              <w:t>角色</w:t>
            </w:r>
            <w:r>
              <w:rPr>
                <w:rFonts w:hint="eastAsia"/>
              </w:rPr>
              <w:t>、职责和权限</w:t>
            </w:r>
          </w:p>
          <w:p/>
        </w:tc>
        <w:tc>
          <w:tcPr>
            <w:tcW w:w="960" w:type="dxa"/>
            <w:vMerge w:val="restart"/>
          </w:tcPr>
          <w:p>
            <w:r>
              <w:rPr>
                <w:rFonts w:hint="eastAsia"/>
                <w:lang w:val="en-US" w:eastAsia="zh-CN"/>
              </w:rPr>
              <w:t>O</w:t>
            </w:r>
            <w:r>
              <w:rPr>
                <w:rFonts w:hint="eastAsia"/>
              </w:rPr>
              <w:t>5.3  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如：管理手册第5.3章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行政部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产品检测放行过程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质量部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行政部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行政部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Pr>
              <w:rPr>
                <w:rFonts w:hint="eastAsia"/>
              </w:rPr>
            </w:pPr>
          </w:p>
          <w:p>
            <w:pPr>
              <w:rPr>
                <w:rFonts w:hint="default" w:eastAsia="宋体"/>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w:t>
            </w:r>
            <w:r>
              <w:rPr>
                <w:rFonts w:hint="eastAsia" w:ascii="宋体" w:hAnsi="宋体"/>
                <w:b/>
                <w:color w:val="000000" w:themeColor="text1"/>
                <w:spacing w:val="-10"/>
                <w:sz w:val="24"/>
                <w:szCs w:val="24"/>
                <w:u w:val="single"/>
                <w14:textFill>
                  <w14:solidFill>
                    <w14:schemeClr w14:val="tx1"/>
                  </w14:solidFill>
                </w14:textFill>
              </w:rPr>
              <w:t>吴哲</w:t>
            </w:r>
            <w:r>
              <w:rPr>
                <w:rFonts w:hint="eastAsia"/>
                <w:u w:val="single"/>
                <w:lang w:val="en-US" w:eastAsia="zh-CN"/>
              </w:rPr>
              <w:t xml:space="preserve">  </w:t>
            </w:r>
            <w:r>
              <w:rPr>
                <w:rFonts w:hint="eastAsia"/>
                <w:lang w:val="en-US" w:eastAsia="zh-CN"/>
              </w:rPr>
              <w:sym w:font="Wingdings" w:char="00A8"/>
            </w:r>
            <w:r>
              <w:rPr>
                <w:rFonts w:hint="eastAsia"/>
                <w:lang w:val="en-US" w:eastAsia="zh-CN"/>
              </w:rPr>
              <w:t>各部门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3" w:name="_Toc17985666"/>
            <w:r>
              <w:rPr>
                <w:rFonts w:hint="eastAsia" w:ascii="Arial" w:hAnsi="Arial"/>
              </w:rPr>
              <w:t>工作人员的协商和参与</w:t>
            </w:r>
            <w:bookmarkEnd w:id="3"/>
          </w:p>
        </w:tc>
        <w:tc>
          <w:tcPr>
            <w:tcW w:w="960" w:type="dxa"/>
            <w:vMerge w:val="restart"/>
          </w:tcPr>
          <w:p>
            <w:r>
              <w:rPr>
                <w:rFonts w:hint="eastAsia"/>
                <w:lang w:val="en-US" w:eastAsia="zh-CN"/>
              </w:rPr>
              <w:t>O</w:t>
            </w:r>
            <w:r>
              <w:rPr>
                <w:rFonts w:hint="eastAsia"/>
              </w:rPr>
              <w:t>5.</w:t>
            </w:r>
            <w:r>
              <w:rPr>
                <w:rFonts w:hint="eastAsia"/>
                <w:lang w:val="en-US" w:eastAsia="zh-CN"/>
              </w:rPr>
              <w:t>4</w:t>
            </w:r>
            <w:r>
              <w:rPr>
                <w:rFonts w:hint="eastAsia"/>
              </w:rPr>
              <w:t>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如：管理手册第5.4章、《</w:t>
            </w:r>
            <w:r>
              <w:rPr>
                <w:rFonts w:hint="eastAsia" w:ascii="Arial" w:hAnsi="Arial"/>
              </w:rPr>
              <w:t>信息沟通控制程序</w:t>
            </w:r>
            <w:r>
              <w:rPr>
                <w:rFonts w:hint="eastAsia"/>
                <w:lang w:val="en-US" w:eastAsia="zh-CN"/>
              </w:rPr>
              <w:t>》</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ind w:firstLine="420"/>
              <w:rPr>
                <w:rFonts w:hint="eastAsia"/>
                <w:color w:val="auto"/>
                <w:highlight w:val="none"/>
                <w:lang w:val="en-US" w:eastAsia="zh-CN"/>
              </w:rPr>
            </w:pPr>
            <w:r>
              <w:rPr>
                <w:rFonts w:hint="eastAsia"/>
                <w:lang w:val="en-US" w:eastAsia="zh-CN"/>
              </w:rPr>
              <w:sym w:font="Wingdings" w:char="00FE"/>
            </w:r>
            <w:r>
              <w:rPr>
                <w:rFonts w:hint="eastAsia"/>
                <w:lang w:val="en-US" w:eastAsia="zh-CN"/>
              </w:rPr>
              <w:t>员工代表：</w:t>
            </w:r>
            <w:r>
              <w:rPr>
                <w:rFonts w:hint="eastAsia"/>
                <w:u w:val="single"/>
                <w:lang w:val="en-US" w:eastAsia="zh-CN"/>
              </w:rPr>
              <w:t xml:space="preserve"> </w:t>
            </w:r>
            <w:r>
              <w:rPr>
                <w:b/>
                <w:color w:val="000000" w:themeColor="text1"/>
                <w:szCs w:val="24"/>
                <w:u w:val="single"/>
                <w14:textFill>
                  <w14:solidFill>
                    <w14:schemeClr w14:val="tx1"/>
                  </w14:solidFill>
                </w14:textFill>
              </w:rPr>
              <w:t>张广标</w:t>
            </w:r>
            <w:r>
              <w:rPr>
                <w:rFonts w:hint="eastAsia"/>
                <w:u w:val="single"/>
                <w:lang w:val="en-US" w:eastAsia="zh-CN"/>
              </w:rPr>
              <w:t xml:space="preserve">  </w:t>
            </w:r>
            <w:r>
              <w:rPr>
                <w:rFonts w:hint="eastAsia"/>
                <w:lang w:val="en-US" w:eastAsia="zh-CN"/>
              </w:rPr>
              <w:sym w:font="Wingdings" w:char="00FE"/>
            </w:r>
            <w:r>
              <w:rPr>
                <w:rFonts w:hint="eastAsia"/>
                <w:lang w:val="en-US" w:eastAsia="zh-CN"/>
              </w:rPr>
              <w:t>共</w:t>
            </w:r>
            <w:r>
              <w:rPr>
                <w:rFonts w:hint="eastAsia"/>
                <w:u w:val="single"/>
                <w:lang w:val="en-US" w:eastAsia="zh-CN"/>
              </w:rPr>
              <w:t xml:space="preserve">   1    </w:t>
            </w:r>
            <w:r>
              <w:rPr>
                <w:rFonts w:hint="eastAsia"/>
                <w:lang w:val="en-US" w:eastAsia="zh-CN"/>
              </w:rPr>
              <w:t>名</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4"/>
              <w:gridCol w:w="1203"/>
              <w:gridCol w:w="1567"/>
              <w:gridCol w:w="1299"/>
              <w:gridCol w:w="1379"/>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协商参与机制</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协商时间</w:t>
                  </w:r>
                </w:p>
              </w:tc>
              <w:tc>
                <w:tcPr>
                  <w:tcW w:w="1567"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培训</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资源</w:t>
                  </w:r>
                </w:p>
              </w:tc>
              <w:tc>
                <w:tcPr>
                  <w:tcW w:w="137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访问渠道</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回应方式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选举</w:t>
                  </w:r>
                  <w:r>
                    <w:rPr>
                      <w:rFonts w:hint="eastAsia" w:cs="Times New Roman"/>
                      <w:color w:val="auto"/>
                      <w:kern w:val="2"/>
                      <w:sz w:val="21"/>
                      <w:highlight w:val="none"/>
                      <w:vertAlign w:val="baseline"/>
                      <w:lang w:val="en-US" w:eastAsia="zh-CN" w:bidi="ar-SA"/>
                    </w:rPr>
                    <w:t>工作人员代表</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每年</w:t>
                  </w:r>
                </w:p>
              </w:tc>
              <w:tc>
                <w:tcPr>
                  <w:tcW w:w="1567"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每年一次</w:t>
                  </w:r>
                </w:p>
              </w:tc>
              <w:tc>
                <w:tcPr>
                  <w:tcW w:w="129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提供资金、场所</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会议</w:t>
                  </w:r>
                </w:p>
              </w:tc>
              <w:tc>
                <w:tcPr>
                  <w:tcW w:w="1571"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合理化建议</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随时</w:t>
                  </w:r>
                </w:p>
              </w:tc>
              <w:tc>
                <w:tcPr>
                  <w:tcW w:w="156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意见箱</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重大变化</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发生前</w:t>
                  </w:r>
                </w:p>
              </w:tc>
              <w:tc>
                <w:tcPr>
                  <w:tcW w:w="156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面谈、会议</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工伤事件</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调查时</w:t>
                  </w:r>
                </w:p>
              </w:tc>
              <w:tc>
                <w:tcPr>
                  <w:tcW w:w="156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面谈、会议</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r>
          </w:tbl>
          <w:p>
            <w:pPr>
              <w:rPr>
                <w:rFonts w:hint="eastAsia"/>
                <w:color w:val="auto"/>
                <w:highlight w:val="none"/>
              </w:rPr>
            </w:pPr>
          </w:p>
          <w:p>
            <w:pPr>
              <w:rPr>
                <w:rFonts w:hint="eastAsia"/>
                <w:color w:val="auto"/>
                <w:highlight w:val="none"/>
              </w:rPr>
            </w:pPr>
            <w:r>
              <w:rPr>
                <w:rFonts w:hint="eastAsia"/>
                <w:color w:val="auto"/>
                <w:highlight w:val="none"/>
              </w:rPr>
              <w:t>与非管理类工作人员在如下方面的：</w:t>
            </w:r>
          </w:p>
          <w:tbl>
            <w:tblPr>
              <w:tblStyle w:val="8"/>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协商的内容</w:t>
                  </w:r>
                </w:p>
              </w:tc>
              <w:tc>
                <w:tcPr>
                  <w:tcW w:w="2105"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协商的时机</w:t>
                  </w:r>
                </w:p>
              </w:tc>
              <w:tc>
                <w:tcPr>
                  <w:tcW w:w="268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确定相关方的需求和期望</w:t>
                  </w:r>
                </w:p>
              </w:tc>
              <w:tc>
                <w:tcPr>
                  <w:tcW w:w="2105" w:type="dxa"/>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default"/>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tcPr>
                <w:p>
                  <w:pPr>
                    <w:rPr>
                      <w:rFonts w:hint="default"/>
                      <w:color w:val="auto"/>
                      <w:highlight w:val="none"/>
                      <w:vertAlign w:val="baseline"/>
                      <w:lang w:val="en-US"/>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建立职业健康安全方针</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分配组织的角色、职责和权限</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确定如何满足法律法规要求和其他要求</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制定职业健康安全目标并为其实现进行策划</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确定对外包、采购和承包方的适用控制</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确定所需监视、测量和评价的内容</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策划、建立、实施和保持审核方案</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确保持续改进</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bl>
          <w:p>
            <w:pPr>
              <w:rPr>
                <w:rFonts w:hint="eastAsia"/>
                <w:color w:val="auto"/>
                <w:highlight w:val="none"/>
              </w:rPr>
            </w:pPr>
          </w:p>
          <w:p>
            <w:pPr>
              <w:rPr>
                <w:rFonts w:hint="eastAsia"/>
                <w:color w:val="auto"/>
                <w:highlight w:val="none"/>
              </w:rPr>
            </w:pPr>
            <w:r>
              <w:rPr>
                <w:rFonts w:hint="eastAsia"/>
                <w:color w:val="auto"/>
                <w:highlight w:val="none"/>
              </w:rPr>
              <w:t>与非管理类工作人员在如下方面的</w:t>
            </w:r>
            <w:r>
              <w:rPr>
                <w:rFonts w:hint="eastAsia"/>
                <w:color w:val="auto"/>
                <w:highlight w:val="none"/>
                <w:lang w:val="en-US" w:eastAsia="zh-CN"/>
              </w:rPr>
              <w:t>参与</w:t>
            </w:r>
            <w:r>
              <w:rPr>
                <w:rFonts w:hint="eastAsia"/>
                <w:color w:val="auto"/>
                <w:highlight w:val="none"/>
              </w:rPr>
              <w:t>：</w:t>
            </w:r>
          </w:p>
          <w:tbl>
            <w:tblPr>
              <w:tblStyle w:val="8"/>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参与的内容</w:t>
                  </w:r>
                </w:p>
              </w:tc>
              <w:tc>
                <w:tcPr>
                  <w:tcW w:w="2105"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参与的时机</w:t>
                  </w:r>
                </w:p>
              </w:tc>
              <w:tc>
                <w:tcPr>
                  <w:tcW w:w="268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确定其协商和参与的机制</w:t>
                  </w:r>
                </w:p>
              </w:tc>
              <w:tc>
                <w:tcPr>
                  <w:tcW w:w="2105" w:type="dxa"/>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default"/>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tcPr>
                <w:p>
                  <w:pPr>
                    <w:rPr>
                      <w:rFonts w:hint="default"/>
                      <w:color w:val="auto"/>
                      <w:highlight w:val="none"/>
                      <w:vertAlign w:val="baseline"/>
                      <w:lang w:val="en-US"/>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辨识危险源并评价风险和机遇</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确定消除危险源和降低职业健康安全风险的措施</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确定能力要求、培训需求、培训和培训效果评价</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确定沟通的内容和方式</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确定控制措施及其有效的实施和应用</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调查事件和不符合并确定纠正措施</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bl>
          <w:p>
            <w:pPr>
              <w:rPr>
                <w:rFonts w:hint="eastAsia"/>
                <w:color w:val="auto"/>
                <w:highlight w:val="none"/>
              </w:rPr>
            </w:pPr>
          </w:p>
          <w:p>
            <w:pPr>
              <w:rPr>
                <w:rFonts w:hint="default" w:eastAsia="宋体"/>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应对风险和机遇的措施</w:t>
            </w:r>
          </w:p>
          <w:p/>
        </w:tc>
        <w:tc>
          <w:tcPr>
            <w:tcW w:w="960" w:type="dxa"/>
            <w:vMerge w:val="restart"/>
          </w:tcPr>
          <w:p>
            <w:r>
              <w:rPr>
                <w:rFonts w:hint="eastAsia"/>
                <w:color w:val="000000"/>
                <w:szCs w:val="21"/>
                <w:lang w:val="en-US" w:eastAsia="zh-CN"/>
              </w:rPr>
              <w:t>O6.1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color w:val="000000"/>
                <w:szCs w:val="21"/>
                <w:lang w:val="en-US" w:eastAsia="zh-CN"/>
              </w:rPr>
              <w:t>风险和机遇管制程序</w:t>
            </w:r>
            <w:r>
              <w:rPr>
                <w:rFonts w:hint="eastAsia"/>
                <w:lang w:val="en-US" w:eastAsia="zh-CN"/>
              </w:rPr>
              <w:t>》、手册第6.1条款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default"/>
                <w:lang w:val="en-US" w:eastAsia="zh-CN"/>
              </w:rPr>
            </w:pPr>
            <w:r>
              <w:rPr>
                <w:rFonts w:hint="eastAsia"/>
                <w:lang w:val="en-US" w:eastAsia="zh-CN"/>
              </w:rPr>
              <w:t>分析风险的方法：</w:t>
            </w:r>
            <w:r>
              <w:rPr>
                <w:rFonts w:hint="eastAsia"/>
                <w:lang w:val="en-US" w:eastAsia="zh-CN"/>
              </w:rPr>
              <w:sym w:font="Wingdings" w:char="00FE"/>
            </w:r>
            <w:r>
              <w:rPr>
                <w:rFonts w:hint="eastAsia"/>
                <w:lang w:val="en-US" w:eastAsia="zh-CN"/>
              </w:rPr>
              <w:t xml:space="preserve">头脑风暴法 </w:t>
            </w:r>
            <w:r>
              <w:rPr>
                <w:rFonts w:hint="eastAsia"/>
                <w:lang w:val="en-US" w:eastAsia="zh-CN"/>
              </w:rPr>
              <w:sym w:font="Wingdings" w:char="00A8"/>
            </w:r>
            <w:r>
              <w:rPr>
                <w:rFonts w:hint="eastAsia"/>
                <w:lang w:val="en-US" w:eastAsia="zh-CN"/>
              </w:rPr>
              <w:t>FMEA（潜在失效模式分析）</w:t>
            </w:r>
            <w:r>
              <w:rPr>
                <w:rFonts w:hint="eastAsia"/>
                <w:lang w:val="en-US" w:eastAsia="zh-CN"/>
              </w:rPr>
              <w:sym w:font="Wingdings" w:char="00A8"/>
            </w:r>
            <w:r>
              <w:rPr>
                <w:rFonts w:hint="eastAsia"/>
                <w:lang w:val="en-US" w:eastAsia="zh-CN"/>
              </w:rPr>
              <w:t>其他</w:t>
            </w:r>
          </w:p>
          <w:p>
            <w:pPr>
              <w:ind w:firstLine="420"/>
              <w:rPr>
                <w:rFonts w:hint="eastAsia"/>
                <w:highlight w:val="cyan"/>
              </w:rPr>
            </w:pPr>
          </w:p>
          <w:p>
            <w:pPr>
              <w:rPr>
                <w:rFonts w:hint="eastAsia"/>
                <w:highlight w:val="none"/>
              </w:rPr>
            </w:pPr>
            <w:r>
              <w:rPr>
                <w:rFonts w:hint="eastAsia"/>
                <w:highlight w:val="none"/>
              </w:rPr>
              <w:t>在确定所需应对的与职业健康安全管理体系及其预期结果有关的风险和机遇时，组织考虑</w:t>
            </w:r>
            <w:r>
              <w:rPr>
                <w:rFonts w:hint="eastAsia"/>
                <w:highlight w:val="none"/>
                <w:lang w:val="en-US" w:eastAsia="zh-CN"/>
              </w:rPr>
              <w:t>了</w:t>
            </w:r>
            <w:r>
              <w:rPr>
                <w:rFonts w:hint="eastAsia"/>
                <w:highlight w:val="none"/>
              </w:rPr>
              <w:t>：</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危险源</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职业健康安全风险和其他风险</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职业健康安全机遇和其他机遇</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法律法规要求和其他要求</w:t>
            </w:r>
          </w:p>
          <w:p>
            <w:pPr>
              <w:rPr>
                <w:rFonts w:hint="eastAsia"/>
                <w:lang w:val="en-US" w:eastAsia="zh-CN"/>
              </w:rPr>
            </w:pPr>
          </w:p>
          <w:p>
            <w:pPr>
              <w:rPr>
                <w:rFonts w:hint="eastAsia"/>
                <w:color w:val="auto"/>
                <w:highlight w:val="none"/>
              </w:rPr>
            </w:pPr>
            <w:r>
              <w:rPr>
                <w:rFonts w:hint="eastAsia"/>
                <w:color w:val="auto"/>
                <w:highlight w:val="none"/>
                <w:lang w:val="en-US" w:eastAsia="zh-CN"/>
              </w:rPr>
              <w:t xml:space="preserve">列举2~3项应对主要风险的描述：         </w:t>
            </w:r>
          </w:p>
          <w:tbl>
            <w:tblPr>
              <w:tblStyle w:val="8"/>
              <w:tblpPr w:leftFromText="180" w:rightFromText="180" w:vertAnchor="text" w:horzAnchor="page" w:tblpX="97" w:tblpY="208"/>
              <w:tblOverlap w:val="never"/>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1"/>
              <w:gridCol w:w="456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5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550"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default" w:ascii="Times New Roman" w:hAnsi="Times New Roman" w:eastAsia="宋体" w:cs="Times New Roman"/>
                      <w:color w:val="auto"/>
                      <w:kern w:val="2"/>
                      <w:sz w:val="21"/>
                      <w:highlight w:val="none"/>
                      <w:vertAlign w:val="baseline"/>
                      <w:lang w:val="en-US" w:eastAsia="zh-CN" w:bidi="ar-SA"/>
                    </w:rPr>
                    <w:t>员工对废弃收集处理装置不足</w:t>
                  </w:r>
                </w:p>
              </w:tc>
              <w:tc>
                <w:tcPr>
                  <w:tcW w:w="4560" w:type="dxa"/>
                  <w:vAlign w:val="top"/>
                </w:tcPr>
                <w:p>
                  <w:pPr>
                    <w:jc w:val="left"/>
                    <w:rPr>
                      <w:rFonts w:hint="default"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加强安全设施的日常维护及管理</w:t>
                  </w:r>
                  <w:r>
                    <w:rPr>
                      <w:rFonts w:hint="eastAsia" w:cs="Times New Roman"/>
                      <w:color w:val="auto"/>
                      <w:kern w:val="2"/>
                      <w:sz w:val="21"/>
                      <w:highlight w:val="none"/>
                      <w:vertAlign w:val="baseline"/>
                      <w:lang w:val="en-US" w:eastAsia="zh-CN" w:bidi="ar-SA"/>
                    </w:rPr>
                    <w:t>，和员工培训</w:t>
                  </w:r>
                </w:p>
              </w:tc>
              <w:tc>
                <w:tcPr>
                  <w:tcW w:w="155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ascii="Comic Sans MS" w:hAnsi="DFKai-SB" w:eastAsia="宋体"/>
                      <w:lang w:eastAsia="zh-CN"/>
                    </w:rPr>
                    <w:t>公司内建筑物防火设计及其防火评审，对消防器材安全检查不够健全</w:t>
                  </w:r>
                  <w:r>
                    <w:rPr>
                      <w:rFonts w:ascii="Comic Sans MS" w:hAnsi="Comic Sans MS" w:eastAsia="宋体"/>
                      <w:lang w:eastAsia="zh-CN"/>
                    </w:rPr>
                    <w:t>.</w:t>
                  </w:r>
                </w:p>
              </w:tc>
              <w:tc>
                <w:tcPr>
                  <w:tcW w:w="45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ascii="Comic Sans MS" w:hAnsi="DFKai-SB" w:eastAsia="宋体"/>
                      <w:lang w:eastAsia="zh-CN"/>
                    </w:rPr>
                    <w:t>管理单位主导对现有办公</w:t>
                  </w:r>
                  <w:r>
                    <w:rPr>
                      <w:rFonts w:hint="eastAsia" w:ascii="Comic Sans MS" w:hAnsi="DFKai-SB" w:eastAsia="宋体"/>
                      <w:lang w:eastAsia="zh-CN"/>
                    </w:rPr>
                    <w:t>区</w:t>
                  </w:r>
                  <w:r>
                    <w:rPr>
                      <w:rFonts w:ascii="Comic Sans MS" w:hAnsi="DFKai-SB" w:eastAsia="宋体"/>
                      <w:lang w:eastAsia="zh-CN"/>
                    </w:rPr>
                    <w:t>进行防火设计评审，并将评审结果记录于【防火设计评审表】中，及固定点检</w:t>
                  </w:r>
                  <w:r>
                    <w:rPr>
                      <w:rFonts w:ascii="Comic Sans MS" w:hAnsi="Comic Sans MS" w:eastAsia="宋体"/>
                      <w:lang w:eastAsia="zh-CN"/>
                    </w:rPr>
                    <w:t xml:space="preserve">, </w:t>
                  </w:r>
                  <w:r>
                    <w:rPr>
                      <w:rFonts w:ascii="Comic Sans MS" w:hAnsi="DFKai-SB" w:eastAsia="宋体"/>
                      <w:lang w:eastAsia="zh-CN"/>
                    </w:rPr>
                    <w:t>如评审过程中发现有问题采取措施进行改善。</w:t>
                  </w:r>
                </w:p>
              </w:tc>
              <w:tc>
                <w:tcPr>
                  <w:tcW w:w="155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kern w:val="2"/>
                      <w:sz w:val="21"/>
                      <w:szCs w:val="24"/>
                      <w:highlight w:val="none"/>
                      <w:vertAlign w:val="baseline"/>
                      <w:lang w:val="en-US" w:eastAsia="zh-CN" w:bidi="ar-SA"/>
                    </w:rPr>
                    <w:t>消防队安全防火技能培训和组织消防学习、发生火灾爆炸时组织救护工作不够完善.</w:t>
                  </w:r>
                </w:p>
              </w:tc>
              <w:tc>
                <w:tcPr>
                  <w:tcW w:w="45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ascii="Comic Sans MS" w:hAnsi="DFKai-SB" w:eastAsia="宋体"/>
                      <w:lang w:eastAsia="zh-CN"/>
                    </w:rPr>
                    <w:t>管理单位每年组织消防队按《</w:t>
                  </w:r>
                  <w:r>
                    <w:rPr>
                      <w:rFonts w:hint="eastAsia" w:ascii="Comic Sans MS" w:hAnsi="DFKai-SB" w:eastAsia="宋体"/>
                      <w:lang w:eastAsia="zh-CN"/>
                    </w:rPr>
                    <w:t>火灾应急处理预案</w:t>
                  </w:r>
                  <w:r>
                    <w:rPr>
                      <w:rFonts w:ascii="Comic Sans MS" w:hAnsi="DFKai-SB" w:eastAsia="宋体"/>
                      <w:lang w:eastAsia="zh-CN"/>
                    </w:rPr>
                    <w:t>》进行安全防火技能培训，进行一次安全防火演习和做好相应记录。</w:t>
                  </w:r>
                </w:p>
              </w:tc>
              <w:tc>
                <w:tcPr>
                  <w:tcW w:w="155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rPr>
                <w:rFonts w:hint="default"/>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 xml:space="preserve">改进职业健康安全绩效的机遇可包括： </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rPr>
              <w:t>发挥检查和审核作用</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工作危险源分析（工作安全分析）和相关任务评价</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通过减轻单调的工作或具有潜在危险的预设工作速率的工作来改进职业健康安全绩效</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工作许可及其他的认可和控制方法</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事件或不符合调查和纠正措施</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人类工效学和其他与伤害预防有关的评价</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改进职业健康安全绩效的其他机遇包括：</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对于设施重置、过程重设，或机器和厂房的更换的策划，在设施、设备或过程的生命周期最早期阶段融入职业健康安全要求；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对于设施重置、过程重设，或机器和厂房的更换，在策划的最早期阶段融入职业健康安全要求；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应用新技术提升职业健康安全绩效；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通过诸如扩展超越要求的与职业健康安全相关的能力，或鼓励工作人员及时报告事件等来改善职业健康安全文化；</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提高对最高管理者支持职业健康安全管理体系的感知度；</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强化事件调查过程；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改进工作人员协商和参与的过程；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标杆管理，包括考虑组织自身以往的绩效和其他组织的绩效；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在职业健康安全专题论坛中寻求合作。</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列举2~3项应对重要机遇的描述：</w:t>
            </w:r>
          </w:p>
          <w:tbl>
            <w:tblPr>
              <w:tblStyle w:val="8"/>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48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主要的机遇描述</w:t>
                  </w:r>
                </w:p>
              </w:tc>
              <w:tc>
                <w:tcPr>
                  <w:tcW w:w="48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ascii="Comic Sans MS" w:hAnsi="DFKai-SB" w:eastAsia="宋体"/>
                      <w:lang w:eastAsia="zh-CN"/>
                    </w:rPr>
                    <w:t>财务状况良好，资金充足</w:t>
                  </w:r>
                </w:p>
              </w:tc>
              <w:tc>
                <w:tcPr>
                  <w:tcW w:w="48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资金充足，提供先进设备设施</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rPr>
                <w:rFonts w:hint="eastAsia"/>
                <w:color w:val="auto"/>
                <w:highlight w:val="none"/>
              </w:rPr>
            </w:pPr>
          </w:p>
          <w:p>
            <w:pPr>
              <w:rPr>
                <w:rFonts w:hint="default" w:eastAsia="宋体"/>
                <w:color w:val="auto"/>
                <w:highlight w:val="none"/>
                <w:lang w:val="en-US" w:eastAsia="zh-CN"/>
              </w:rPr>
            </w:pPr>
            <w:r>
              <w:rPr>
                <w:rFonts w:hint="eastAsia"/>
                <w:color w:val="auto"/>
                <w:highlight w:val="none"/>
                <w:lang w:eastAsia="zh-CN"/>
              </w:rPr>
              <w:t>组织</w:t>
            </w:r>
            <w:r>
              <w:rPr>
                <w:rFonts w:hint="eastAsia"/>
                <w:color w:val="auto"/>
                <w:highlight w:val="none"/>
                <w:lang w:val="en-US" w:eastAsia="zh-CN"/>
              </w:rPr>
              <w:t>职业健康安全</w:t>
            </w:r>
            <w:r>
              <w:rPr>
                <w:rFonts w:hint="eastAsia"/>
                <w:color w:val="auto"/>
                <w:highlight w:val="none"/>
                <w:lang w:eastAsia="zh-CN"/>
              </w:rPr>
              <w:t>管理体系范围内的潜在紧急情况，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法规未识别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违规操作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其他                      </w:t>
            </w:r>
          </w:p>
          <w:p>
            <w:pPr>
              <w:rPr>
                <w:rFonts w:hint="eastAsia"/>
                <w:color w:val="auto"/>
                <w:highlight w:val="none"/>
                <w:lang w:eastAsia="zh-CN"/>
              </w:rPr>
            </w:pPr>
          </w:p>
          <w:p>
            <w:pPr>
              <w:rPr>
                <w:rFonts w:hint="eastAsia"/>
                <w:color w:val="auto"/>
                <w:highlight w:val="none"/>
                <w:u w:val="single"/>
                <w:lang w:val="en-US" w:eastAsia="zh-CN"/>
              </w:rPr>
            </w:pPr>
            <w:r>
              <w:rPr>
                <w:rFonts w:hint="eastAsia"/>
                <w:color w:val="auto"/>
                <w:highlight w:val="none"/>
                <w:lang w:eastAsia="zh-CN"/>
              </w:rPr>
              <w:t>可能具有</w:t>
            </w:r>
            <w:r>
              <w:rPr>
                <w:rFonts w:hint="eastAsia"/>
                <w:color w:val="auto"/>
                <w:highlight w:val="none"/>
                <w:lang w:val="en-US" w:eastAsia="zh-CN"/>
              </w:rPr>
              <w:t>职业健康安全风险</w:t>
            </w:r>
            <w:r>
              <w:rPr>
                <w:rFonts w:hint="eastAsia"/>
                <w:color w:val="auto"/>
                <w:highlight w:val="none"/>
                <w:lang w:eastAsia="zh-CN"/>
              </w:rPr>
              <w:t>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火灾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发生工伤 </w:t>
            </w:r>
          </w:p>
          <w:p>
            <w:pPr>
              <w:rPr>
                <w:rFonts w:hint="default" w:eastAsia="宋体"/>
                <w:lang w:val="en-US" w:eastAsia="zh-CN"/>
              </w:rPr>
            </w:pP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 职业病产生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危险源辨识</w:t>
            </w:r>
          </w:p>
        </w:tc>
        <w:tc>
          <w:tcPr>
            <w:tcW w:w="960" w:type="dxa"/>
            <w:vMerge w:val="restart"/>
          </w:tcPr>
          <w:p>
            <w:r>
              <w:rPr>
                <w:rFonts w:hint="eastAsia"/>
                <w:color w:val="000000"/>
                <w:szCs w:val="21"/>
                <w:lang w:val="en-US" w:eastAsia="zh-CN"/>
              </w:rPr>
              <w:t>O6.1.2.1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如：手册第6.1.2条款、《危险源辨识与风险评价控制程序》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rPr>
              <w:t>组织在</w:t>
            </w:r>
            <w:r>
              <w:rPr>
                <w:rFonts w:hint="eastAsia"/>
                <w:vertAlign w:val="baseline"/>
                <w:lang w:val="en-US" w:eastAsia="zh-CN"/>
              </w:rPr>
              <w:t>辨识危险源</w:t>
            </w:r>
            <w:r>
              <w:rPr>
                <w:rFonts w:hint="eastAsia"/>
                <w:vertAlign w:val="baseline"/>
              </w:rPr>
              <w:t>和相关的</w:t>
            </w:r>
            <w:r>
              <w:rPr>
                <w:rFonts w:hint="eastAsia"/>
                <w:vertAlign w:val="baseline"/>
                <w:lang w:val="en-US" w:eastAsia="zh-CN"/>
              </w:rPr>
              <w:t>职业健康安全风险</w:t>
            </w:r>
            <w:r>
              <w:rPr>
                <w:rFonts w:hint="eastAsia"/>
                <w:vertAlign w:val="baseline"/>
              </w:rPr>
              <w:t>时，</w:t>
            </w:r>
            <w:r>
              <w:rPr>
                <w:rFonts w:hint="eastAsia"/>
                <w:vertAlign w:val="baseline"/>
                <w:lang w:val="en-US" w:eastAsia="zh-CN"/>
              </w:rPr>
              <w:t>已</w:t>
            </w:r>
            <w:r>
              <w:rPr>
                <w:rFonts w:hint="eastAsia"/>
                <w:vertAlign w:val="baseline"/>
              </w:rPr>
              <w:t>考虑</w:t>
            </w:r>
            <w:r>
              <w:rPr>
                <w:rFonts w:hint="eastAsia"/>
                <w:vertAlign w:val="baseline"/>
                <w:lang w:val="en-US" w:eastAsia="zh-CN"/>
              </w:rPr>
              <w:t>下列因素：</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highlight w:val="none"/>
                <w:lang w:val="en-US" w:eastAsia="zh-CN"/>
              </w:rPr>
            </w:pPr>
            <w:r>
              <w:rPr>
                <w:rFonts w:hint="default"/>
                <w:color w:val="000000"/>
                <w:lang w:val="en-US" w:eastAsia="zh-CN"/>
              </w:rPr>
              <w:sym w:font="Wingdings" w:char="00FE"/>
            </w:r>
            <w:r>
              <w:rPr>
                <w:rFonts w:hint="eastAsia"/>
                <w:highlight w:val="none"/>
                <w:lang w:val="en-US" w:eastAsia="zh-CN"/>
              </w:rPr>
              <w:t xml:space="preserve">社会因素  </w:t>
            </w:r>
            <w:r>
              <w:rPr>
                <w:rFonts w:hint="default"/>
                <w:color w:val="000000"/>
                <w:lang w:val="en-US" w:eastAsia="zh-CN"/>
              </w:rPr>
              <w:sym w:font="Wingdings" w:char="00FE"/>
            </w:r>
            <w:r>
              <w:rPr>
                <w:rFonts w:hint="eastAsia"/>
                <w:highlight w:val="none"/>
              </w:rPr>
              <w:t>领导作用</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组织的文化</w:t>
            </w:r>
            <w:r>
              <w:rPr>
                <w:rFonts w:hint="eastAsia"/>
                <w:highlight w:val="none"/>
                <w:lang w:val="en-US" w:eastAsia="zh-CN"/>
              </w:rPr>
              <w:t xml:space="preserve"> </w:t>
            </w:r>
            <w:r>
              <w:rPr>
                <w:rFonts w:hint="eastAsia"/>
                <w:highlight w:val="none"/>
                <w:vertAlign w:val="baseli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常规活动和状况   </w:t>
            </w:r>
            <w:r>
              <w:rPr>
                <w:rFonts w:hint="default"/>
                <w:color w:val="000000"/>
                <w:highlight w:val="none"/>
                <w:lang w:val="en-US" w:eastAsia="zh-CN"/>
              </w:rPr>
              <w:sym w:font="Wingdings" w:char="00FE"/>
            </w:r>
            <w:r>
              <w:rPr>
                <w:rFonts w:hint="eastAsia"/>
                <w:color w:val="000000"/>
                <w:highlight w:val="none"/>
                <w:lang w:val="en-US" w:eastAsia="zh-CN"/>
              </w:rPr>
              <w:t xml:space="preserve">非常规活动和状况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default"/>
                <w:color w:val="000000"/>
                <w:highlight w:val="none"/>
                <w:lang w:val="en-US" w:eastAsia="zh-CN"/>
              </w:rPr>
              <w:sym w:font="Wingdings" w:char="00FE"/>
            </w:r>
            <w:r>
              <w:rPr>
                <w:rFonts w:hint="eastAsia"/>
                <w:highlight w:val="none"/>
              </w:rPr>
              <w:t>内部</w:t>
            </w:r>
            <w:r>
              <w:rPr>
                <w:highlight w:val="none"/>
              </w:rPr>
              <w:t>或</w:t>
            </w:r>
            <w:r>
              <w:rPr>
                <w:rFonts w:hint="eastAsia"/>
                <w:highlight w:val="none"/>
              </w:rPr>
              <w:t>外部以往发生的相关事件</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highlight w:val="none"/>
                <w:vertAlign w:val="baseline"/>
              </w:rPr>
              <w:t>潜在的紧急情况</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内部员工   </w:t>
            </w:r>
            <w:r>
              <w:rPr>
                <w:rFonts w:hint="default"/>
                <w:color w:val="000000"/>
                <w:highlight w:val="none"/>
                <w:lang w:val="en-US" w:eastAsia="zh-CN"/>
              </w:rPr>
              <w:sym w:font="Wingdings" w:char="00FE"/>
            </w:r>
            <w:r>
              <w:rPr>
                <w:rFonts w:hint="eastAsia"/>
                <w:color w:val="000000"/>
                <w:highlight w:val="none"/>
                <w:lang w:val="en-US" w:eastAsia="zh-CN"/>
              </w:rPr>
              <w:t xml:space="preserve">相关方人员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default" w:eastAsia="宋体"/>
                <w:highlight w:val="none"/>
                <w:vertAlign w:val="baseline"/>
                <w:lang w:val="en-US" w:eastAsia="zh-CN"/>
              </w:rPr>
            </w:pPr>
            <w:r>
              <w:rPr>
                <w:rFonts w:hint="default"/>
                <w:color w:val="000000"/>
                <w:highlight w:val="none"/>
                <w:lang w:val="en-US" w:eastAsia="zh-CN"/>
              </w:rPr>
              <w:sym w:font="Wingdings" w:char="00FE"/>
            </w:r>
            <w:r>
              <w:rPr>
                <w:rFonts w:hint="eastAsia"/>
                <w:highlight w:val="none"/>
              </w:rPr>
              <w:t>工作场所附近</w:t>
            </w:r>
            <w:r>
              <w:rPr>
                <w:highlight w:val="none"/>
              </w:rPr>
              <w:t>的状况</w:t>
            </w:r>
            <w:r>
              <w:rPr>
                <w:rFonts w:hint="eastAsia"/>
                <w:highlight w:val="none"/>
                <w:lang w:val="en-US" w:eastAsia="zh-CN"/>
              </w:rPr>
              <w:t xml:space="preserve">  </w:t>
            </w:r>
            <w:r>
              <w:rPr>
                <w:rFonts w:hint="default"/>
                <w:color w:val="000000"/>
                <w:highlight w:val="none"/>
                <w:lang w:val="en-US" w:eastAsia="zh-CN"/>
              </w:rPr>
              <w:sym w:font="Wingdings" w:char="00A8"/>
            </w:r>
            <w:r>
              <w:rPr>
                <w:rFonts w:hint="eastAsia"/>
                <w:highlight w:val="none"/>
              </w:rPr>
              <w:t>实际或拟定的变更</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危险源的知识和相关信息的变更</w:t>
            </w: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危险源辨识考虑了下列过程：</w:t>
            </w:r>
          </w:p>
          <w:p>
            <w:pPr>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设计开发   </w:t>
            </w:r>
            <w:r>
              <w:rPr>
                <w:rFonts w:hint="default"/>
                <w:color w:val="000000"/>
                <w:lang w:val="en-US" w:eastAsia="zh-CN"/>
              </w:rPr>
              <w:sym w:font="Wingdings" w:char="00FE"/>
            </w:r>
            <w:r>
              <w:rPr>
                <w:rFonts w:hint="eastAsia"/>
                <w:color w:val="000000"/>
                <w:lang w:val="en-US" w:eastAsia="zh-CN"/>
              </w:rPr>
              <w:t xml:space="preserve">原材料采购    </w:t>
            </w:r>
            <w:r>
              <w:rPr>
                <w:rFonts w:hint="default"/>
                <w:color w:val="000000"/>
                <w:lang w:val="en-US" w:eastAsia="zh-CN"/>
              </w:rPr>
              <w:sym w:font="Wingdings" w:char="00FE"/>
            </w:r>
            <w:r>
              <w:rPr>
                <w:rFonts w:hint="eastAsia"/>
                <w:color w:val="000000"/>
                <w:lang w:val="en-US" w:eastAsia="zh-CN"/>
              </w:rPr>
              <w:t xml:space="preserve">生产/服务提供   </w:t>
            </w:r>
            <w:r>
              <w:rPr>
                <w:rFonts w:hint="default"/>
                <w:color w:val="000000"/>
                <w:lang w:val="en-US" w:eastAsia="zh-CN"/>
              </w:rPr>
              <w:sym w:font="Wingdings" w:char="00FE"/>
            </w:r>
            <w:r>
              <w:rPr>
                <w:rFonts w:hint="eastAsia"/>
                <w:color w:val="000000"/>
                <w:lang w:val="en-US" w:eastAsia="zh-CN"/>
              </w:rPr>
              <w:t xml:space="preserve">产品检测   </w:t>
            </w:r>
            <w:r>
              <w:rPr>
                <w:rFonts w:hint="default"/>
                <w:color w:val="000000"/>
                <w:lang w:val="en-US" w:eastAsia="zh-CN"/>
              </w:rPr>
              <w:sym w:font="Wingdings" w:char="00FE"/>
            </w:r>
            <w:r>
              <w:rPr>
                <w:rFonts w:hint="eastAsia"/>
                <w:color w:val="000000"/>
                <w:lang w:val="en-US" w:eastAsia="zh-CN"/>
              </w:rPr>
              <w:t xml:space="preserve">产品储存  </w:t>
            </w:r>
            <w:r>
              <w:rPr>
                <w:rFonts w:hint="default"/>
                <w:color w:val="000000"/>
                <w:lang w:val="en-US" w:eastAsia="zh-CN"/>
              </w:rPr>
              <w:sym w:font="Wingdings" w:char="00A8"/>
            </w:r>
            <w:r>
              <w:rPr>
                <w:rFonts w:hint="eastAsia"/>
                <w:color w:val="000000"/>
                <w:lang w:val="en-US" w:eastAsia="zh-CN"/>
              </w:rPr>
              <w:t xml:space="preserve">产品交付  </w:t>
            </w:r>
          </w:p>
          <w:p>
            <w:pPr>
              <w:rPr>
                <w:rFonts w:hint="default"/>
                <w:vertAlign w:val="baseline"/>
                <w:lang w:val="en-US" w:eastAsia="zh-CN"/>
              </w:rPr>
            </w:pPr>
            <w:r>
              <w:rPr>
                <w:rFonts w:hint="default"/>
                <w:color w:val="000000"/>
                <w:lang w:val="en-US" w:eastAsia="zh-CN"/>
              </w:rPr>
              <w:sym w:font="Wingdings" w:char="00A8"/>
            </w:r>
            <w:r>
              <w:rPr>
                <w:rFonts w:hint="eastAsia"/>
                <w:color w:val="000000"/>
                <w:lang w:val="en-US" w:eastAsia="zh-CN"/>
              </w:rPr>
              <w:t xml:space="preserve">辅助活动   </w:t>
            </w:r>
            <w:r>
              <w:rPr>
                <w:rFonts w:hint="default"/>
                <w:color w:val="000000"/>
                <w:lang w:val="en-US" w:eastAsia="zh-CN"/>
              </w:rPr>
              <w:sym w:font="Wingdings" w:char="00A8"/>
            </w:r>
            <w:r>
              <w:rPr>
                <w:rFonts w:hint="eastAsia"/>
                <w:color w:val="000000"/>
                <w:lang w:val="en-US" w:eastAsia="zh-CN"/>
              </w:rPr>
              <w:t xml:space="preserve">公用工程   </w:t>
            </w:r>
            <w:r>
              <w:rPr>
                <w:rFonts w:hint="default"/>
                <w:color w:val="000000"/>
                <w:lang w:val="en-US" w:eastAsia="zh-CN"/>
              </w:rPr>
              <w:sym w:font="Wingdings" w:char="00A8"/>
            </w:r>
            <w:r>
              <w:rPr>
                <w:rFonts w:hint="eastAsia"/>
                <w:color w:val="000000"/>
                <w:lang w:val="en-US" w:eastAsia="zh-CN"/>
              </w:rPr>
              <w:t>其他——</w:t>
            </w:r>
          </w:p>
          <w:p>
            <w:pPr>
              <w:rPr>
                <w:rFonts w:hint="eastAsia"/>
                <w:b/>
                <w:bCs/>
                <w:vertAlign w:val="baseline"/>
                <w:lang w:val="en-US" w:eastAsia="zh-CN"/>
              </w:rPr>
            </w:pPr>
          </w:p>
          <w:p>
            <w:pPr>
              <w:rPr>
                <w:rFonts w:hint="default"/>
                <w:b/>
                <w:bCs/>
                <w:vertAlign w:val="baseline"/>
                <w:lang w:val="en-US" w:eastAsia="zh-CN"/>
              </w:rPr>
            </w:pPr>
            <w:r>
              <w:rPr>
                <w:rFonts w:hint="eastAsia"/>
                <w:b/>
                <w:bCs/>
                <w:vertAlign w:val="baseline"/>
                <w:lang w:val="en-US" w:eastAsia="zh-CN"/>
              </w:rPr>
              <w:t xml:space="preserve">组织的重大危险源包括：    </w:t>
            </w:r>
          </w:p>
          <w:tbl>
            <w:tblPr>
              <w:tblStyle w:val="7"/>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563"/>
              <w:gridCol w:w="3317"/>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b/>
                      <w:bCs/>
                      <w:vertAlign w:val="baseline"/>
                      <w:lang w:val="en-US" w:eastAsia="zh-CN"/>
                    </w:rPr>
                    <w:t>重大危险源</w:t>
                  </w:r>
                </w:p>
              </w:tc>
              <w:tc>
                <w:tcPr>
                  <w:tcW w:w="2563"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职业健康安全风险</w:t>
                  </w:r>
                </w:p>
              </w:tc>
              <w:tc>
                <w:tcPr>
                  <w:tcW w:w="3317"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c>
                <w:tcPr>
                  <w:tcW w:w="1309"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kern w:val="2"/>
                      <w:szCs w:val="24"/>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c>
                <w:tcPr>
                  <w:tcW w:w="2563"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GB" w:eastAsia="zh-CN" w:bidi="ar-SA"/>
                    </w:rPr>
                  </w:pPr>
                  <w:r>
                    <w:rPr>
                      <w:rFonts w:hint="eastAsia"/>
                      <w:color w:val="000000"/>
                      <w:lang w:val="en-US" w:eastAsia="zh-CN"/>
                    </w:rPr>
                    <w:t xml:space="preserve">   </w:t>
                  </w:r>
                </w:p>
              </w:tc>
              <w:tc>
                <w:tcPr>
                  <w:tcW w:w="3317"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GB" w:eastAsia="zh-CN" w:bidi="ar-SA"/>
                    </w:rPr>
                  </w:pP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rPr>
                  </w:pPr>
                </w:p>
              </w:tc>
              <w:tc>
                <w:tcPr>
                  <w:tcW w:w="2563"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p>
              </w:tc>
              <w:tc>
                <w:tcPr>
                  <w:tcW w:w="331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rPr>
                  </w:pPr>
                </w:p>
              </w:tc>
              <w:tc>
                <w:tcPr>
                  <w:tcW w:w="2563"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p>
              </w:tc>
              <w:tc>
                <w:tcPr>
                  <w:tcW w:w="331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rPr>
                  </w:pPr>
                </w:p>
              </w:tc>
              <w:tc>
                <w:tcPr>
                  <w:tcW w:w="2563"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p>
              </w:tc>
              <w:tc>
                <w:tcPr>
                  <w:tcW w:w="331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p>
              </w:tc>
            </w:tr>
          </w:tbl>
          <w:p>
            <w:pPr>
              <w:rPr>
                <w:rFonts w:hint="eastAsia"/>
                <w:b/>
                <w:bCs/>
                <w:vertAlign w:val="baseline"/>
                <w:lang w:val="en-US" w:eastAsia="zh-CN"/>
              </w:rPr>
            </w:pPr>
          </w:p>
          <w:p>
            <w:pPr>
              <w:rPr>
                <w:rFonts w:hint="eastAsia"/>
                <w:b/>
                <w:bCs/>
                <w:vertAlign w:val="baseline"/>
                <w:lang w:val="en-US" w:eastAsia="zh-CN"/>
              </w:rPr>
            </w:pPr>
            <w:r>
              <w:rPr>
                <w:rFonts w:hint="eastAsia"/>
                <w:b/>
                <w:bCs/>
                <w:vertAlign w:val="baseline"/>
                <w:lang w:val="en-US" w:eastAsia="zh-CN"/>
              </w:rPr>
              <w:t>组织的重要危险源包括：</w:t>
            </w:r>
          </w:p>
          <w:p>
            <w:pPr>
              <w:rPr>
                <w:rFonts w:hint="default"/>
                <w:highlight w:val="none"/>
                <w:vertAlign w:val="baseline"/>
                <w:lang w:val="en-US" w:eastAsia="zh-CN"/>
              </w:rPr>
            </w:pPr>
            <w:r>
              <w:rPr>
                <w:rFonts w:hint="eastAsia"/>
                <w:highlight w:val="none"/>
                <w:vertAlign w:val="baseline"/>
                <w:lang w:val="en-US" w:eastAsia="zh-CN"/>
              </w:rPr>
              <w:t>机械伤害：</w:t>
            </w:r>
            <w:r>
              <w:rPr>
                <w:rFonts w:hint="default"/>
                <w:color w:val="000000"/>
                <w:highlight w:val="none"/>
                <w:lang w:val="en-US" w:eastAsia="zh-CN"/>
              </w:rPr>
              <w:sym w:font="Wingdings" w:char="00FE"/>
            </w:r>
            <w:r>
              <w:rPr>
                <w:rFonts w:hint="eastAsia"/>
                <w:color w:val="000000"/>
                <w:highlight w:val="none"/>
                <w:lang w:val="en-US" w:eastAsia="zh-CN"/>
              </w:rPr>
              <w:t xml:space="preserve">物体打击     </w:t>
            </w:r>
            <w:r>
              <w:rPr>
                <w:rFonts w:hint="default"/>
                <w:color w:val="000000"/>
                <w:highlight w:val="none"/>
                <w:lang w:val="en-US" w:eastAsia="zh-CN"/>
              </w:rPr>
              <w:sym w:font="Wingdings" w:char="00FE"/>
            </w:r>
            <w:r>
              <w:rPr>
                <w:rFonts w:hint="eastAsia"/>
                <w:color w:val="000000"/>
                <w:highlight w:val="none"/>
                <w:lang w:val="en-US" w:eastAsia="zh-CN"/>
              </w:rPr>
              <w:t xml:space="preserve">高空落物   </w:t>
            </w:r>
            <w:r>
              <w:rPr>
                <w:rFonts w:hint="default"/>
                <w:color w:val="000000"/>
                <w:highlight w:val="none"/>
                <w:lang w:val="en-US" w:eastAsia="zh-CN"/>
              </w:rPr>
              <w:sym w:font="Wingdings" w:char="00A8"/>
            </w:r>
            <w:r>
              <w:rPr>
                <w:rFonts w:hint="eastAsia"/>
                <w:color w:val="000000"/>
                <w:highlight w:val="none"/>
                <w:lang w:val="en-US" w:eastAsia="zh-CN"/>
              </w:rPr>
              <w:t xml:space="preserve">高空坠落   </w:t>
            </w:r>
            <w:r>
              <w:rPr>
                <w:rFonts w:hint="default"/>
                <w:color w:val="000000"/>
                <w:highlight w:val="none"/>
                <w:lang w:val="en-US" w:eastAsia="zh-CN"/>
              </w:rPr>
              <w:sym w:font="Wingdings" w:char="00FE"/>
            </w:r>
            <w:r>
              <w:rPr>
                <w:rFonts w:hint="eastAsia"/>
                <w:color w:val="000000"/>
                <w:highlight w:val="none"/>
                <w:lang w:val="en-US" w:eastAsia="zh-CN"/>
              </w:rPr>
              <w:t xml:space="preserve">车辆撞人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eastAsia"/>
                <w:color w:val="000000"/>
                <w:szCs w:val="18"/>
                <w:highlight w:val="none"/>
                <w:lang w:val="en-US" w:eastAsia="zh-CN"/>
              </w:rPr>
            </w:pPr>
            <w:r>
              <w:rPr>
                <w:rFonts w:hint="eastAsia"/>
                <w:color w:val="000000"/>
                <w:szCs w:val="18"/>
                <w:highlight w:val="none"/>
                <w:lang w:val="en-US" w:eastAsia="zh-CN"/>
              </w:rPr>
              <w:t>化学伤害：</w:t>
            </w:r>
            <w:r>
              <w:rPr>
                <w:rFonts w:hint="default"/>
                <w:color w:val="000000"/>
                <w:highlight w:val="none"/>
                <w:lang w:val="en-US" w:eastAsia="zh-CN"/>
              </w:rPr>
              <w:sym w:font="Wingdings" w:char="00FE"/>
            </w:r>
            <w:r>
              <w:rPr>
                <w:rFonts w:hint="eastAsia"/>
                <w:color w:val="000000"/>
                <w:highlight w:val="none"/>
                <w:lang w:val="en-US" w:eastAsia="zh-CN"/>
              </w:rPr>
              <w:t xml:space="preserve">中毒 </w:t>
            </w:r>
            <w:r>
              <w:rPr>
                <w:rFonts w:hint="default"/>
                <w:color w:val="000000"/>
                <w:highlight w:val="none"/>
                <w:lang w:val="en-US" w:eastAsia="zh-CN"/>
              </w:rPr>
              <w:sym w:font="Wingdings" w:char="00FE"/>
            </w:r>
            <w:r>
              <w:rPr>
                <w:rFonts w:hint="eastAsia"/>
                <w:color w:val="000000"/>
                <w:highlight w:val="none"/>
                <w:lang w:val="en-US" w:eastAsia="zh-CN"/>
              </w:rPr>
              <w:t xml:space="preserve">灼烧  </w:t>
            </w:r>
            <w:r>
              <w:rPr>
                <w:rFonts w:hint="default"/>
                <w:color w:val="000000"/>
                <w:highlight w:val="none"/>
                <w:lang w:val="en-US" w:eastAsia="zh-CN"/>
              </w:rPr>
              <w:sym w:font="Wingdings" w:char="00A8"/>
            </w:r>
            <w:r>
              <w:rPr>
                <w:rFonts w:hint="eastAsia"/>
                <w:color w:val="000000"/>
                <w:highlight w:val="none"/>
                <w:lang w:val="en-US" w:eastAsia="zh-CN"/>
              </w:rPr>
              <w:t xml:space="preserve">粉尘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default"/>
                <w:color w:val="000000"/>
                <w:szCs w:val="18"/>
                <w:highlight w:val="none"/>
                <w:lang w:val="en-US" w:eastAsia="zh-CN"/>
              </w:rPr>
            </w:pPr>
            <w:r>
              <w:rPr>
                <w:rFonts w:hint="eastAsia"/>
                <w:color w:val="000000"/>
                <w:szCs w:val="18"/>
                <w:highlight w:val="none"/>
                <w:lang w:val="en-US" w:eastAsia="zh-CN"/>
              </w:rPr>
              <w:t>冷热伤害：</w:t>
            </w:r>
            <w:r>
              <w:rPr>
                <w:rFonts w:hint="default"/>
                <w:color w:val="000000"/>
                <w:highlight w:val="none"/>
                <w:lang w:val="en-US" w:eastAsia="zh-CN"/>
              </w:rPr>
              <w:sym w:font="Wingdings" w:char="00FE"/>
            </w:r>
            <w:r>
              <w:rPr>
                <w:rFonts w:hint="eastAsia"/>
                <w:color w:val="000000"/>
                <w:highlight w:val="none"/>
                <w:lang w:val="en-US" w:eastAsia="zh-CN"/>
              </w:rPr>
              <w:t xml:space="preserve">烫伤 </w:t>
            </w:r>
            <w:r>
              <w:rPr>
                <w:rFonts w:hint="default"/>
                <w:color w:val="000000"/>
                <w:highlight w:val="none"/>
                <w:lang w:val="en-US" w:eastAsia="zh-CN"/>
              </w:rPr>
              <w:sym w:font="Wingdings" w:char="00A8"/>
            </w:r>
            <w:r>
              <w:rPr>
                <w:rFonts w:hint="eastAsia"/>
                <w:color w:val="000000"/>
                <w:highlight w:val="none"/>
                <w:lang w:val="en-US" w:eastAsia="zh-CN"/>
              </w:rPr>
              <w:t xml:space="preserve">中暑  </w:t>
            </w:r>
            <w:r>
              <w:rPr>
                <w:rFonts w:hint="default"/>
                <w:color w:val="000000"/>
                <w:highlight w:val="none"/>
                <w:lang w:val="en-US" w:eastAsia="zh-CN"/>
              </w:rPr>
              <w:sym w:font="Wingdings" w:char="00A8"/>
            </w:r>
            <w:r>
              <w:rPr>
                <w:rFonts w:hint="eastAsia"/>
                <w:color w:val="000000"/>
                <w:highlight w:val="none"/>
                <w:lang w:val="en-US" w:eastAsia="zh-CN"/>
              </w:rPr>
              <w:t>冻伤</w:t>
            </w:r>
          </w:p>
          <w:p>
            <w:pPr>
              <w:rPr>
                <w:rFonts w:hint="eastAsia"/>
                <w:color w:val="000000"/>
                <w:highlight w:val="none"/>
                <w:lang w:val="en-US" w:eastAsia="zh-CN"/>
              </w:rPr>
            </w:pPr>
            <w:r>
              <w:rPr>
                <w:rFonts w:hint="eastAsia"/>
                <w:color w:val="000000"/>
                <w:szCs w:val="18"/>
                <w:highlight w:val="none"/>
                <w:lang w:val="en-US" w:eastAsia="zh-CN"/>
              </w:rPr>
              <w:t>电的伤害</w:t>
            </w:r>
            <w:r>
              <w:rPr>
                <w:rFonts w:hint="eastAsia"/>
                <w:color w:val="000000"/>
                <w:szCs w:val="18"/>
                <w:highlight w:val="none"/>
                <w:lang w:eastAsia="zh-CN"/>
              </w:rPr>
              <w:t>：</w:t>
            </w:r>
            <w:r>
              <w:rPr>
                <w:rFonts w:hint="default"/>
                <w:color w:val="000000"/>
                <w:highlight w:val="none"/>
                <w:lang w:val="en-US" w:eastAsia="zh-CN"/>
              </w:rPr>
              <w:sym w:font="Wingdings" w:char="00FE"/>
            </w:r>
            <w:r>
              <w:rPr>
                <w:rFonts w:hint="eastAsia"/>
                <w:color w:val="000000"/>
                <w:highlight w:val="none"/>
                <w:lang w:val="en-US" w:eastAsia="zh-CN"/>
              </w:rPr>
              <w:t xml:space="preserve">触电 </w:t>
            </w:r>
            <w:r>
              <w:rPr>
                <w:rFonts w:hint="default"/>
                <w:color w:val="000000"/>
                <w:highlight w:val="none"/>
                <w:lang w:val="en-US" w:eastAsia="zh-CN"/>
              </w:rPr>
              <w:sym w:font="Wingdings" w:char="00A8"/>
            </w:r>
            <w:r>
              <w:rPr>
                <w:rFonts w:hint="eastAsia"/>
                <w:color w:val="000000"/>
                <w:highlight w:val="none"/>
                <w:lang w:val="en-US" w:eastAsia="zh-CN"/>
              </w:rPr>
              <w:t xml:space="preserve">雷击    </w:t>
            </w:r>
            <w:r>
              <w:rPr>
                <w:rFonts w:hint="default"/>
                <w:color w:val="000000"/>
                <w:highlight w:val="none"/>
                <w:lang w:val="en-US" w:eastAsia="zh-CN"/>
              </w:rPr>
              <w:sym w:font="Wingdings" w:char="00A8"/>
            </w:r>
            <w:r>
              <w:rPr>
                <w:rFonts w:hint="eastAsia"/>
                <w:color w:val="000000"/>
                <w:highlight w:val="no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highlight w:val="none"/>
                <w:lang w:val="en-US" w:eastAsia="zh-CN"/>
              </w:rPr>
            </w:pPr>
            <w:r>
              <w:rPr>
                <w:rFonts w:hint="eastAsia"/>
                <w:highlight w:val="none"/>
                <w:vertAlign w:val="baseline"/>
                <w:lang w:val="en-US" w:eastAsia="zh-CN"/>
              </w:rPr>
              <w:t>火灾伤害：</w:t>
            </w:r>
            <w:r>
              <w:rPr>
                <w:rFonts w:hint="default"/>
                <w:color w:val="000000"/>
                <w:highlight w:val="none"/>
                <w:lang w:val="en-US" w:eastAsia="zh-CN"/>
              </w:rPr>
              <w:sym w:font="Wingdings" w:char="00A8"/>
            </w:r>
            <w:r>
              <w:rPr>
                <w:rFonts w:hint="eastAsia"/>
                <w:color w:val="000000"/>
                <w:highlight w:val="none"/>
                <w:lang w:val="en-US" w:eastAsia="zh-CN"/>
              </w:rPr>
              <w:t xml:space="preserve">爆炸 </w:t>
            </w:r>
            <w:r>
              <w:rPr>
                <w:rFonts w:hint="default"/>
                <w:color w:val="000000"/>
                <w:highlight w:val="none"/>
                <w:lang w:val="en-US" w:eastAsia="zh-CN"/>
              </w:rPr>
              <w:sym w:font="Wingdings" w:char="00FE"/>
            </w:r>
            <w:r>
              <w:rPr>
                <w:rFonts w:hint="eastAsia"/>
                <w:color w:val="000000"/>
                <w:highlight w:val="none"/>
                <w:lang w:val="en-US" w:eastAsia="zh-CN"/>
              </w:rPr>
              <w:t xml:space="preserve">灼烧  </w:t>
            </w:r>
          </w:p>
          <w:p>
            <w:pPr>
              <w:keepNext w:val="0"/>
              <w:keepLines w:val="0"/>
              <w:widowControl w:val="0"/>
              <w:numPr>
                <w:ilvl w:val="0"/>
                <w:numId w:val="0"/>
              </w:numPr>
              <w:suppressLineNumbers w:val="0"/>
              <w:spacing w:before="0" w:beforeAutospacing="0" w:after="0" w:afterAutospacing="0"/>
              <w:ind w:left="0" w:right="0"/>
              <w:jc w:val="both"/>
              <w:rPr>
                <w:rFonts w:hint="default"/>
                <w:color w:val="000000"/>
                <w:highlight w:val="none"/>
                <w:lang w:val="en-US" w:eastAsia="zh-CN"/>
              </w:rPr>
            </w:pPr>
            <w:r>
              <w:rPr>
                <w:rFonts w:hint="eastAsia"/>
                <w:color w:val="000000"/>
                <w:highlight w:val="none"/>
                <w:lang w:val="en-US" w:eastAsia="zh-CN"/>
              </w:rPr>
              <w:t>声音伤害：</w:t>
            </w:r>
            <w:r>
              <w:rPr>
                <w:rFonts w:hint="default"/>
                <w:color w:val="000000"/>
                <w:highlight w:val="none"/>
                <w:lang w:val="en-US" w:eastAsia="zh-CN"/>
              </w:rPr>
              <w:sym w:font="Wingdings" w:char="00FE"/>
            </w:r>
            <w:r>
              <w:rPr>
                <w:rFonts w:hint="eastAsia"/>
                <w:color w:val="000000"/>
                <w:highlight w:val="none"/>
                <w:lang w:val="en-US" w:eastAsia="zh-CN"/>
              </w:rPr>
              <w:t xml:space="preserve">噪声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评价不可接受风险的准则：</w:t>
            </w:r>
            <w:r>
              <w:rPr>
                <w:rFonts w:hint="eastAsia"/>
                <w:lang w:val="en-US" w:eastAsia="zh-CN"/>
              </w:rPr>
              <w:t>《</w:t>
            </w:r>
            <w:r>
              <w:rPr>
                <w:rFonts w:hint="eastAsia"/>
              </w:rPr>
              <w:t>危险源辨识、风险评价和控制措施的确定程序</w:t>
            </w:r>
            <w:r>
              <w:rPr>
                <w:rFonts w:hint="eastAsia"/>
                <w:lang w:val="en-US" w:eastAsia="zh-CN"/>
              </w:rPr>
              <w:t>》</w:t>
            </w:r>
            <w:r>
              <w:rPr>
                <w:rFonts w:hint="eastAsia"/>
                <w:highlight w:val="none"/>
                <w:u w:val="single"/>
                <w:vertAlign w:val="baseline"/>
                <w:lang w:val="en-US" w:eastAsia="zh-CN"/>
              </w:rPr>
              <w:t xml:space="preserve">LEC法  </w:t>
            </w:r>
          </w:p>
          <w:p>
            <w:pPr>
              <w:rPr>
                <w:rFonts w:hint="eastAsia"/>
                <w:b/>
                <w:bCs/>
                <w:vertAlign w:val="baseline"/>
                <w:lang w:val="en-US" w:eastAsia="zh-CN"/>
              </w:rPr>
            </w:pPr>
          </w:p>
          <w:p>
            <w:pPr>
              <w:rPr>
                <w:rFonts w:hint="default"/>
                <w:b/>
                <w:bCs/>
                <w:vertAlign w:val="baseline"/>
                <w:lang w:val="en-US" w:eastAsia="zh-CN"/>
              </w:rPr>
            </w:pPr>
            <w:r>
              <w:rPr>
                <w:rFonts w:hint="eastAsia"/>
                <w:b/>
                <w:bCs/>
                <w:vertAlign w:val="baseline"/>
                <w:lang w:val="en-US" w:eastAsia="zh-CN"/>
              </w:rPr>
              <w:t xml:space="preserve">组织的重要危险源包括：    </w:t>
            </w:r>
          </w:p>
          <w:tbl>
            <w:tblPr>
              <w:tblStyle w:val="7"/>
              <w:tblW w:w="7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200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szCs w:val="22"/>
                      <w:highlight w:val="none"/>
                      <w:lang w:eastAsia="zh-CN"/>
                    </w:rPr>
                  </w:pPr>
                  <w:r>
                    <w:rPr>
                      <w:rFonts w:hint="eastAsia"/>
                      <w:szCs w:val="22"/>
                      <w:highlight w:val="none"/>
                      <w:lang w:val="en-US" w:eastAsia="zh-CN"/>
                    </w:rPr>
                    <w:t>重大危险源</w:t>
                  </w:r>
                </w:p>
              </w:tc>
              <w:tc>
                <w:tcPr>
                  <w:tcW w:w="2000"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szCs w:val="22"/>
                      <w:highlight w:val="none"/>
                      <w:lang w:val="en-US" w:eastAsia="zh-CN"/>
                    </w:rPr>
                  </w:pPr>
                  <w:r>
                    <w:rPr>
                      <w:rFonts w:hint="eastAsia"/>
                      <w:szCs w:val="22"/>
                      <w:highlight w:val="none"/>
                      <w:lang w:val="en-US" w:eastAsia="zh-CN"/>
                    </w:rPr>
                    <w:t>职业健康安全风险</w:t>
                  </w:r>
                </w:p>
              </w:tc>
              <w:tc>
                <w:tcPr>
                  <w:tcW w:w="4600"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szCs w:val="22"/>
                      <w:highlight w:val="none"/>
                      <w:lang w:val="en-US" w:eastAsia="zh-CN"/>
                    </w:rPr>
                  </w:pPr>
                  <w:r>
                    <w:rPr>
                      <w:rFonts w:hint="eastAsia"/>
                      <w:szCs w:val="22"/>
                      <w:highlight w:val="no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vAlign w:val="top"/>
                </w:tcPr>
                <w:p>
                  <w:pPr>
                    <w:keepNext w:val="0"/>
                    <w:keepLines w:val="0"/>
                    <w:widowControl/>
                    <w:suppressLineNumbers w:val="0"/>
                    <w:jc w:val="left"/>
                    <w:textAlignment w:val="top"/>
                    <w:rPr>
                      <w:rFonts w:hint="eastAsia"/>
                      <w:szCs w:val="22"/>
                      <w:highlight w:val="none"/>
                      <w:lang w:eastAsia="zh-CN"/>
                    </w:rPr>
                  </w:pPr>
                  <w:r>
                    <w:rPr>
                      <w:rFonts w:hint="eastAsia" w:ascii="宋体" w:hAnsi="宋体" w:eastAsia="宋体" w:cs="宋体"/>
                      <w:i w:val="0"/>
                      <w:color w:val="000000"/>
                      <w:kern w:val="0"/>
                      <w:sz w:val="22"/>
                      <w:szCs w:val="22"/>
                      <w:u w:val="none"/>
                      <w:lang w:val="en-US" w:eastAsia="zh-CN" w:bidi="ar"/>
                    </w:rPr>
                    <w:t>火灾</w:t>
                  </w:r>
                </w:p>
              </w:tc>
              <w:tc>
                <w:tcPr>
                  <w:tcW w:w="2000" w:type="dxa"/>
                  <w:shd w:val="clear" w:color="auto" w:fill="auto"/>
                  <w:vAlign w:val="center"/>
                </w:tcPr>
                <w:p>
                  <w:pPr>
                    <w:keepNext w:val="0"/>
                    <w:keepLines w:val="0"/>
                    <w:widowControl w:val="0"/>
                    <w:numPr>
                      <w:ilvl w:val="0"/>
                      <w:numId w:val="0"/>
                    </w:numPr>
                    <w:suppressLineNumbers w:val="0"/>
                    <w:spacing w:before="0" w:beforeAutospacing="0" w:after="0" w:afterAutospacing="0"/>
                    <w:ind w:left="0" w:right="0"/>
                    <w:jc w:val="left"/>
                    <w:rPr>
                      <w:rFonts w:hint="eastAsia"/>
                      <w:szCs w:val="22"/>
                      <w:highlight w:val="none"/>
                      <w:lang w:val="en-GB" w:eastAsia="zh-CN"/>
                    </w:rPr>
                  </w:pPr>
                  <w:r>
                    <w:rPr>
                      <w:rFonts w:hint="eastAsia"/>
                      <w:szCs w:val="22"/>
                      <w:highlight w:val="none"/>
                    </w:rPr>
                    <w:t>潜在火灾、爆炸</w:t>
                  </w:r>
                </w:p>
              </w:tc>
              <w:tc>
                <w:tcPr>
                  <w:tcW w:w="4600" w:type="dxa"/>
                  <w:shd w:val="clear" w:color="auto" w:fill="auto"/>
                  <w:vAlign w:val="center"/>
                </w:tcPr>
                <w:p>
                  <w:pPr>
                    <w:keepNext w:val="0"/>
                    <w:keepLines w:val="0"/>
                    <w:widowControl w:val="0"/>
                    <w:numPr>
                      <w:ilvl w:val="0"/>
                      <w:numId w:val="0"/>
                    </w:numPr>
                    <w:suppressLineNumbers w:val="0"/>
                    <w:spacing w:before="0" w:beforeAutospacing="0" w:after="0" w:afterAutospacing="0"/>
                    <w:ind w:left="0" w:right="0"/>
                    <w:jc w:val="left"/>
                    <w:rPr>
                      <w:rFonts w:hint="default" w:eastAsia="宋体"/>
                      <w:szCs w:val="22"/>
                      <w:highlight w:val="none"/>
                      <w:lang w:val="en-US" w:eastAsia="zh-CN"/>
                    </w:rPr>
                  </w:pPr>
                  <w:r>
                    <w:rPr>
                      <w:rFonts w:hint="eastAsia"/>
                      <w:szCs w:val="22"/>
                      <w:highlight w:val="none"/>
                    </w:rPr>
                    <w:t>制定并执行方案和应急救援预案</w:t>
                  </w:r>
                  <w:r>
                    <w:rPr>
                      <w:rFonts w:hint="eastAsia"/>
                      <w:szCs w:val="22"/>
                      <w:highlight w:val="none"/>
                      <w:lang w:eastAsia="zh-CN"/>
                    </w:rPr>
                    <w:t>，</w:t>
                  </w:r>
                  <w:r>
                    <w:rPr>
                      <w:rFonts w:hint="eastAsia"/>
                      <w:szCs w:val="22"/>
                      <w:highlight w:val="none"/>
                      <w:lang w:val="en-US" w:eastAsia="zh-CN"/>
                    </w:rPr>
                    <w:t>消防检查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vAlign w:val="top"/>
                </w:tcPr>
                <w:p>
                  <w:pPr>
                    <w:keepNext w:val="0"/>
                    <w:keepLines w:val="0"/>
                    <w:widowControl/>
                    <w:suppressLineNumbers w:val="0"/>
                    <w:jc w:val="left"/>
                    <w:textAlignment w:val="top"/>
                    <w:rPr>
                      <w:rFonts w:hint="eastAsia"/>
                      <w:szCs w:val="22"/>
                      <w:highlight w:val="none"/>
                    </w:rPr>
                  </w:pPr>
                  <w:r>
                    <w:rPr>
                      <w:rFonts w:hint="eastAsia" w:ascii="宋体" w:hAnsi="宋体" w:eastAsia="宋体" w:cs="宋体"/>
                      <w:i w:val="0"/>
                      <w:color w:val="000000"/>
                      <w:kern w:val="0"/>
                      <w:sz w:val="22"/>
                      <w:szCs w:val="22"/>
                      <w:u w:val="none"/>
                      <w:lang w:val="en-US" w:eastAsia="zh-CN" w:bidi="ar"/>
                    </w:rPr>
                    <w:t>噪声的排放</w:t>
                  </w:r>
                </w:p>
              </w:tc>
              <w:tc>
                <w:tcPr>
                  <w:tcW w:w="2000" w:type="dxa"/>
                  <w:shd w:val="clear" w:color="auto" w:fill="auto"/>
                  <w:vAlign w:val="center"/>
                </w:tcPr>
                <w:p>
                  <w:pPr>
                    <w:keepNext w:val="0"/>
                    <w:keepLines w:val="0"/>
                    <w:widowControl w:val="0"/>
                    <w:numPr>
                      <w:ilvl w:val="0"/>
                      <w:numId w:val="0"/>
                    </w:numPr>
                    <w:suppressLineNumbers w:val="0"/>
                    <w:spacing w:before="0" w:beforeAutospacing="0" w:after="0" w:afterAutospacing="0"/>
                    <w:ind w:left="0" w:right="0"/>
                    <w:jc w:val="left"/>
                    <w:rPr>
                      <w:rFonts w:hint="eastAsia"/>
                      <w:szCs w:val="22"/>
                      <w:highlight w:val="none"/>
                      <w:lang w:val="en-US" w:eastAsia="zh-CN"/>
                    </w:rPr>
                  </w:pPr>
                  <w:r>
                    <w:rPr>
                      <w:rFonts w:hint="eastAsia"/>
                      <w:szCs w:val="22"/>
                      <w:highlight w:val="none"/>
                    </w:rPr>
                    <w:t>潜在的人身伤害</w:t>
                  </w:r>
                </w:p>
              </w:tc>
              <w:tc>
                <w:tcPr>
                  <w:tcW w:w="4600" w:type="dxa"/>
                  <w:shd w:val="clear" w:color="auto" w:fill="auto"/>
                  <w:vAlign w:val="center"/>
                </w:tcPr>
                <w:p>
                  <w:pPr>
                    <w:keepNext w:val="0"/>
                    <w:keepLines w:val="0"/>
                    <w:widowControl w:val="0"/>
                    <w:numPr>
                      <w:ilvl w:val="0"/>
                      <w:numId w:val="0"/>
                    </w:numPr>
                    <w:suppressLineNumbers w:val="0"/>
                    <w:spacing w:before="0" w:beforeAutospacing="0" w:after="0" w:afterAutospacing="0"/>
                    <w:ind w:left="0" w:right="0"/>
                    <w:jc w:val="left"/>
                    <w:rPr>
                      <w:rFonts w:hint="eastAsia"/>
                      <w:szCs w:val="22"/>
                      <w:highlight w:val="none"/>
                      <w:lang w:val="en-US" w:eastAsia="zh-CN"/>
                    </w:rPr>
                  </w:pPr>
                  <w:r>
                    <w:rPr>
                      <w:rFonts w:hint="eastAsia"/>
                      <w:szCs w:val="22"/>
                      <w:highlight w:val="none"/>
                    </w:rPr>
                    <w:t xml:space="preserve">按规定进行操作及配戴防护用品等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vAlign w:val="top"/>
                </w:tcPr>
                <w:p>
                  <w:pPr>
                    <w:keepNext w:val="0"/>
                    <w:keepLines w:val="0"/>
                    <w:widowControl/>
                    <w:suppressLineNumbers w:val="0"/>
                    <w:jc w:val="left"/>
                    <w:textAlignment w:val="top"/>
                    <w:rPr>
                      <w:rFonts w:hint="eastAsia"/>
                      <w:szCs w:val="22"/>
                      <w:highlight w:val="none"/>
                    </w:rPr>
                  </w:pPr>
                  <w:r>
                    <w:rPr>
                      <w:rFonts w:hint="eastAsia" w:ascii="宋体" w:hAnsi="宋体" w:eastAsia="宋体" w:cs="宋体"/>
                      <w:i w:val="0"/>
                      <w:color w:val="000000"/>
                      <w:kern w:val="0"/>
                      <w:sz w:val="22"/>
                      <w:szCs w:val="22"/>
                      <w:u w:val="none"/>
                      <w:lang w:val="en-US" w:eastAsia="zh-CN" w:bidi="ar"/>
                    </w:rPr>
                    <w:t>粉尘的排放</w:t>
                  </w:r>
                </w:p>
              </w:tc>
              <w:tc>
                <w:tcPr>
                  <w:tcW w:w="2000" w:type="dxa"/>
                  <w:shd w:val="clear" w:color="auto" w:fill="auto"/>
                  <w:vAlign w:val="center"/>
                </w:tcPr>
                <w:p>
                  <w:pPr>
                    <w:keepNext w:val="0"/>
                    <w:keepLines w:val="0"/>
                    <w:widowControl w:val="0"/>
                    <w:numPr>
                      <w:ilvl w:val="0"/>
                      <w:numId w:val="0"/>
                    </w:numPr>
                    <w:suppressLineNumbers w:val="0"/>
                    <w:spacing w:before="0" w:beforeAutospacing="0" w:after="0" w:afterAutospacing="0"/>
                    <w:ind w:left="0" w:right="0"/>
                    <w:jc w:val="left"/>
                    <w:rPr>
                      <w:rFonts w:hint="eastAsia"/>
                      <w:szCs w:val="22"/>
                      <w:highlight w:val="none"/>
                      <w:lang w:val="en-US" w:eastAsia="zh-CN"/>
                    </w:rPr>
                  </w:pPr>
                  <w:r>
                    <w:rPr>
                      <w:rFonts w:hint="eastAsia"/>
                      <w:szCs w:val="22"/>
                      <w:highlight w:val="none"/>
                    </w:rPr>
                    <w:t>潜在的人身伤害</w:t>
                  </w:r>
                </w:p>
              </w:tc>
              <w:tc>
                <w:tcPr>
                  <w:tcW w:w="4600" w:type="dxa"/>
                  <w:shd w:val="clear" w:color="auto" w:fill="auto"/>
                  <w:vAlign w:val="center"/>
                </w:tcPr>
                <w:p>
                  <w:pPr>
                    <w:keepNext w:val="0"/>
                    <w:keepLines w:val="0"/>
                    <w:widowControl w:val="0"/>
                    <w:numPr>
                      <w:ilvl w:val="0"/>
                      <w:numId w:val="0"/>
                    </w:numPr>
                    <w:suppressLineNumbers w:val="0"/>
                    <w:spacing w:before="0" w:beforeAutospacing="0" w:after="0" w:afterAutospacing="0"/>
                    <w:ind w:left="0" w:right="0"/>
                    <w:jc w:val="left"/>
                    <w:rPr>
                      <w:rFonts w:hint="eastAsia"/>
                      <w:szCs w:val="22"/>
                      <w:highlight w:val="none"/>
                      <w:lang w:val="en-US" w:eastAsia="zh-CN"/>
                    </w:rPr>
                  </w:pPr>
                  <w:r>
                    <w:rPr>
                      <w:rFonts w:hint="eastAsia"/>
                      <w:szCs w:val="22"/>
                      <w:highlight w:val="none"/>
                    </w:rPr>
                    <w:t xml:space="preserve">按规定进行操作及配戴防护用品等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vAlign w:val="top"/>
                </w:tcPr>
                <w:p>
                  <w:pPr>
                    <w:keepNext w:val="0"/>
                    <w:keepLines w:val="0"/>
                    <w:widowControl/>
                    <w:suppressLineNumbers w:val="0"/>
                    <w:jc w:val="left"/>
                    <w:textAlignment w:val="top"/>
                    <w:rPr>
                      <w:rFonts w:hint="eastAsia"/>
                      <w:szCs w:val="22"/>
                      <w:highlight w:val="none"/>
                    </w:rPr>
                  </w:pPr>
                  <w:r>
                    <w:rPr>
                      <w:rFonts w:hint="eastAsia" w:ascii="宋体" w:hAnsi="宋体" w:eastAsia="宋体" w:cs="宋体"/>
                      <w:i w:val="0"/>
                      <w:color w:val="000000"/>
                      <w:kern w:val="0"/>
                      <w:sz w:val="22"/>
                      <w:szCs w:val="22"/>
                      <w:u w:val="none"/>
                      <w:lang w:val="en-US" w:eastAsia="zh-CN" w:bidi="ar"/>
                    </w:rPr>
                    <w:t>疫情传染病</w:t>
                  </w:r>
                </w:p>
              </w:tc>
              <w:tc>
                <w:tcPr>
                  <w:tcW w:w="2000" w:type="dxa"/>
                  <w:shd w:val="clear" w:color="auto" w:fill="auto"/>
                  <w:vAlign w:val="center"/>
                </w:tcPr>
                <w:p>
                  <w:pPr>
                    <w:keepNext w:val="0"/>
                    <w:keepLines w:val="0"/>
                    <w:widowControl w:val="0"/>
                    <w:numPr>
                      <w:ilvl w:val="0"/>
                      <w:numId w:val="0"/>
                    </w:numPr>
                    <w:suppressLineNumbers w:val="0"/>
                    <w:spacing w:before="0" w:beforeAutospacing="0" w:after="0" w:afterAutospacing="0"/>
                    <w:ind w:left="0" w:right="0"/>
                    <w:jc w:val="left"/>
                    <w:rPr>
                      <w:rFonts w:hint="eastAsia"/>
                      <w:szCs w:val="22"/>
                      <w:highlight w:val="none"/>
                      <w:lang w:val="en-US" w:eastAsia="zh-CN"/>
                    </w:rPr>
                  </w:pPr>
                  <w:r>
                    <w:rPr>
                      <w:rFonts w:hint="eastAsia"/>
                      <w:szCs w:val="22"/>
                      <w:highlight w:val="none"/>
                    </w:rPr>
                    <w:t>潜在的人身伤害</w:t>
                  </w:r>
                </w:p>
              </w:tc>
              <w:tc>
                <w:tcPr>
                  <w:tcW w:w="4600" w:type="dxa"/>
                  <w:shd w:val="clear" w:color="auto" w:fill="auto"/>
                  <w:vAlign w:val="center"/>
                </w:tcPr>
                <w:p>
                  <w:pPr>
                    <w:keepNext w:val="0"/>
                    <w:keepLines w:val="0"/>
                    <w:widowControl w:val="0"/>
                    <w:numPr>
                      <w:ilvl w:val="0"/>
                      <w:numId w:val="0"/>
                    </w:numPr>
                    <w:suppressLineNumbers w:val="0"/>
                    <w:spacing w:before="0" w:beforeAutospacing="0" w:after="0" w:afterAutospacing="0"/>
                    <w:ind w:left="0" w:right="0"/>
                    <w:jc w:val="left"/>
                    <w:rPr>
                      <w:rFonts w:hint="eastAsia"/>
                      <w:szCs w:val="22"/>
                      <w:highlight w:val="none"/>
                      <w:lang w:val="en-US" w:eastAsia="zh-CN"/>
                    </w:rPr>
                  </w:pPr>
                  <w:r>
                    <w:rPr>
                      <w:rFonts w:hint="eastAsia"/>
                      <w:szCs w:val="22"/>
                      <w:highlight w:val="none"/>
                    </w:rPr>
                    <w:t>按规定进行操作及配戴防护用品等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vAlign w:val="top"/>
                </w:tcPr>
                <w:p>
                  <w:pPr>
                    <w:keepNext w:val="0"/>
                    <w:keepLines w:val="0"/>
                    <w:widowControl/>
                    <w:suppressLineNumbers w:val="0"/>
                    <w:jc w:val="left"/>
                    <w:textAlignment w:val="top"/>
                    <w:rPr>
                      <w:rFonts w:hint="eastAsia"/>
                      <w:szCs w:val="22"/>
                      <w:highlight w:val="none"/>
                    </w:rPr>
                  </w:pPr>
                  <w:r>
                    <w:rPr>
                      <w:rFonts w:hint="eastAsia" w:ascii="宋体" w:hAnsi="宋体" w:eastAsia="宋体" w:cs="宋体"/>
                      <w:i w:val="0"/>
                      <w:color w:val="000000"/>
                      <w:kern w:val="0"/>
                      <w:sz w:val="22"/>
                      <w:szCs w:val="22"/>
                      <w:u w:val="none"/>
                      <w:lang w:val="en-US" w:eastAsia="zh-CN" w:bidi="ar"/>
                    </w:rPr>
                    <w:t>触电</w:t>
                  </w:r>
                </w:p>
              </w:tc>
              <w:tc>
                <w:tcPr>
                  <w:tcW w:w="2000" w:type="dxa"/>
                  <w:shd w:val="clear" w:color="auto" w:fill="auto"/>
                  <w:vAlign w:val="center"/>
                </w:tcPr>
                <w:p>
                  <w:pPr>
                    <w:keepNext w:val="0"/>
                    <w:keepLines w:val="0"/>
                    <w:widowControl w:val="0"/>
                    <w:numPr>
                      <w:ilvl w:val="0"/>
                      <w:numId w:val="0"/>
                    </w:numPr>
                    <w:suppressLineNumbers w:val="0"/>
                    <w:spacing w:before="0" w:beforeAutospacing="0" w:after="0" w:afterAutospacing="0"/>
                    <w:ind w:left="0" w:right="0"/>
                    <w:jc w:val="left"/>
                    <w:rPr>
                      <w:rFonts w:hint="eastAsia"/>
                      <w:szCs w:val="22"/>
                      <w:highlight w:val="none"/>
                      <w:lang w:val="en-US" w:eastAsia="zh-CN"/>
                    </w:rPr>
                  </w:pPr>
                  <w:r>
                    <w:rPr>
                      <w:rFonts w:hint="eastAsia"/>
                      <w:szCs w:val="22"/>
                      <w:highlight w:val="none"/>
                    </w:rPr>
                    <w:t>人身伤亡</w:t>
                  </w:r>
                </w:p>
              </w:tc>
              <w:tc>
                <w:tcPr>
                  <w:tcW w:w="4600" w:type="dxa"/>
                  <w:shd w:val="clear" w:color="auto" w:fill="auto"/>
                  <w:vAlign w:val="center"/>
                </w:tcPr>
                <w:p>
                  <w:pPr>
                    <w:keepNext w:val="0"/>
                    <w:keepLines w:val="0"/>
                    <w:widowControl w:val="0"/>
                    <w:numPr>
                      <w:ilvl w:val="0"/>
                      <w:numId w:val="0"/>
                    </w:numPr>
                    <w:suppressLineNumbers w:val="0"/>
                    <w:spacing w:before="0" w:beforeAutospacing="0" w:after="0" w:afterAutospacing="0"/>
                    <w:ind w:left="0" w:right="0"/>
                    <w:jc w:val="left"/>
                    <w:rPr>
                      <w:rFonts w:hint="eastAsia"/>
                      <w:szCs w:val="22"/>
                      <w:highlight w:val="none"/>
                      <w:lang w:val="en-US" w:eastAsia="zh-CN"/>
                    </w:rPr>
                  </w:pPr>
                  <w:r>
                    <w:rPr>
                      <w:rFonts w:hint="eastAsia"/>
                      <w:szCs w:val="22"/>
                      <w:highlight w:val="none"/>
                    </w:rPr>
                    <w:t xml:space="preserve"> 禁止乱接乱接、日常检查电源线是否老化</w:t>
                  </w:r>
                </w:p>
              </w:tc>
            </w:tr>
          </w:tbl>
          <w:p>
            <w:pPr>
              <w:pStyle w:val="2"/>
              <w:rPr>
                <w:rFonts w:hint="default"/>
                <w:lang w:val="en-US" w:eastAsia="zh-C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 xml:space="preserve">职业健康安全风险和职业健康安全管理体系的其他风险的评价 </w:t>
            </w:r>
          </w:p>
        </w:tc>
        <w:tc>
          <w:tcPr>
            <w:tcW w:w="960" w:type="dxa"/>
            <w:vMerge w:val="restart"/>
          </w:tcPr>
          <w:p>
            <w:r>
              <w:rPr>
                <w:rFonts w:hint="eastAsia"/>
                <w:color w:val="000000"/>
                <w:szCs w:val="21"/>
                <w:lang w:val="en-US" w:eastAsia="zh-CN"/>
              </w:rPr>
              <w:t>O6.1.2.2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如：手册第6.1.4条款、《</w:t>
            </w:r>
            <w:r>
              <w:rPr>
                <w:rFonts w:hint="eastAsia"/>
              </w:rPr>
              <w:t>危险源辨识、风险评价和控制措施的确定程序</w:t>
            </w:r>
            <w:r>
              <w:rPr>
                <w:rFonts w:hint="eastAsia"/>
                <w:lang w:val="en-US" w:eastAsia="zh-CN"/>
              </w:rPr>
              <w:t>》</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bl>
            <w:tblPr>
              <w:tblStyle w:val="7"/>
              <w:tblW w:w="8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177"/>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ascii="宋体" w:hAnsi="宋体" w:eastAsia="宋体"/>
                      <w:kern w:val="2"/>
                      <w:szCs w:val="24"/>
                      <w:highlight w:val="none"/>
                      <w:lang w:val="en-US" w:eastAsia="zh-CN"/>
                    </w:rPr>
                  </w:pPr>
                  <w:r>
                    <w:rPr>
                      <w:rFonts w:hint="eastAsia"/>
                      <w:highlight w:val="none"/>
                    </w:rPr>
                    <w:t>职业健康安全</w:t>
                  </w:r>
                  <w:r>
                    <w:rPr>
                      <w:rFonts w:hint="eastAsia"/>
                      <w:highlight w:val="none"/>
                      <w:lang w:val="en-US" w:eastAsia="zh-CN"/>
                    </w:rPr>
                    <w:t>风险</w:t>
                  </w:r>
                </w:p>
              </w:tc>
              <w:tc>
                <w:tcPr>
                  <w:tcW w:w="4177"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92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rPr>
                    <w:t>评价已辨识的危险源职业健康安全风险</w:t>
                  </w:r>
                </w:p>
              </w:tc>
              <w:tc>
                <w:tcPr>
                  <w:tcW w:w="417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制订和实施控制程序和安全操作规程；定期检查；有问题及时整改</w:t>
                  </w:r>
                </w:p>
              </w:tc>
              <w:tc>
                <w:tcPr>
                  <w:tcW w:w="192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评价</w:t>
                  </w:r>
                  <w:r>
                    <w:rPr>
                      <w:rFonts w:hint="eastAsia"/>
                      <w:highlight w:val="none"/>
                    </w:rPr>
                    <w:t>现有控制的有效性</w:t>
                  </w:r>
                </w:p>
              </w:tc>
              <w:tc>
                <w:tcPr>
                  <w:tcW w:w="417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目前控制措施有效</w:t>
                  </w:r>
                </w:p>
              </w:tc>
              <w:tc>
                <w:tcPr>
                  <w:tcW w:w="192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其他</w:t>
                  </w:r>
                  <w:r>
                    <w:rPr>
                      <w:rFonts w:hint="eastAsia"/>
                      <w:highlight w:val="none"/>
                      <w:lang w:val="en-US" w:eastAsia="zh-CN"/>
                    </w:rPr>
                    <w:t>风险</w:t>
                  </w:r>
                </w:p>
              </w:tc>
              <w:tc>
                <w:tcPr>
                  <w:tcW w:w="417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支持部门制订和实施控制程序</w:t>
                  </w:r>
                </w:p>
              </w:tc>
              <w:tc>
                <w:tcPr>
                  <w:tcW w:w="192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highlight w:val="none"/>
                      <w:lang w:eastAsia="zh-CN"/>
                    </w:rPr>
                  </w:pPr>
                </w:p>
              </w:tc>
              <w:tc>
                <w:tcPr>
                  <w:tcW w:w="417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92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r>
          </w:tbl>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pStyle w:val="17"/>
              <w:numPr>
                <w:ilvl w:val="4"/>
                <w:numId w:val="0"/>
              </w:num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职业健康安全机遇和职业健康安全管理体系的其他机遇的评价</w:t>
            </w:r>
          </w:p>
          <w:p>
            <w:pPr>
              <w:rPr>
                <w:rFonts w:hint="default"/>
                <w:lang w:val="en-US"/>
              </w:rPr>
            </w:pPr>
            <w:r>
              <w:rPr>
                <w:rFonts w:hint="eastAsia"/>
              </w:rPr>
              <w:t xml:space="preserve"> </w:t>
            </w:r>
          </w:p>
        </w:tc>
        <w:tc>
          <w:tcPr>
            <w:tcW w:w="960" w:type="dxa"/>
            <w:vMerge w:val="restart"/>
          </w:tcPr>
          <w:p>
            <w:r>
              <w:rPr>
                <w:rFonts w:hint="eastAsia"/>
                <w:color w:val="000000"/>
                <w:szCs w:val="21"/>
                <w:lang w:val="en-US" w:eastAsia="zh-CN"/>
              </w:rPr>
              <w:t>O6.1.2.3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如：手册第6.1.2条款、《</w:t>
            </w:r>
            <w:r>
              <w:rPr>
                <w:rFonts w:hint="eastAsia" w:ascii="Times New Roman" w:hAnsi="Times New Roman" w:eastAsia="宋体" w:cs="Times New Roman"/>
                <w:kern w:val="2"/>
                <w:sz w:val="21"/>
                <w:szCs w:val="22"/>
                <w:lang w:val="en-US" w:eastAsia="zh-CN" w:bidi="ar-SA"/>
              </w:rPr>
              <w:t>风险和机遇管制程序</w:t>
            </w:r>
            <w:r>
              <w:rPr>
                <w:rFonts w:hint="eastAsia"/>
                <w:lang w:val="en-US" w:eastAsia="zh-CN"/>
              </w:rPr>
              <w:t>》</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p>
          <w:tbl>
            <w:tblPr>
              <w:tblStyle w:val="7"/>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447"/>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ascii="宋体" w:hAnsi="宋体" w:eastAsia="宋体"/>
                      <w:kern w:val="2"/>
                      <w:szCs w:val="24"/>
                      <w:highlight w:val="none"/>
                      <w:lang w:val="en-US" w:eastAsia="zh-CN"/>
                    </w:rPr>
                  </w:pPr>
                  <w:r>
                    <w:rPr>
                      <w:rFonts w:hint="eastAsia"/>
                      <w:highlight w:val="none"/>
                    </w:rPr>
                    <w:t>职业健康安全</w:t>
                  </w:r>
                  <w:r>
                    <w:rPr>
                      <w:rFonts w:hint="eastAsia"/>
                      <w:highlight w:val="none"/>
                      <w:lang w:val="en-US" w:eastAsia="zh-CN"/>
                    </w:rPr>
                    <w:t>绩效</w:t>
                  </w:r>
                </w:p>
              </w:tc>
              <w:tc>
                <w:tcPr>
                  <w:tcW w:w="4447"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64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rPr>
                    <w:t>工作、工作组织和工作环境适合</w:t>
                  </w:r>
                  <w:r>
                    <w:rPr>
                      <w:highlight w:val="none"/>
                    </w:rPr>
                    <w:t>于</w:t>
                  </w:r>
                  <w:r>
                    <w:rPr>
                      <w:rFonts w:hint="eastAsia"/>
                      <w:highlight w:val="none"/>
                    </w:rPr>
                    <w:t>工作人员</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目前控制措施有效且被员工接受</w:t>
                  </w:r>
                </w:p>
              </w:tc>
              <w:tc>
                <w:tcPr>
                  <w:tcW w:w="164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合规义务</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定期收集和评价法律法规和其他要求</w:t>
                  </w:r>
                </w:p>
              </w:tc>
              <w:tc>
                <w:tcPr>
                  <w:tcW w:w="164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消除危险源</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定期安全教育，按照规章制度执行</w:t>
                  </w:r>
                </w:p>
              </w:tc>
              <w:tc>
                <w:tcPr>
                  <w:tcW w:w="164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降低职业健康安全风险</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全部装置的正常运行</w:t>
                  </w:r>
                </w:p>
              </w:tc>
              <w:tc>
                <w:tcPr>
                  <w:tcW w:w="164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highlight w:val="none"/>
                    </w:rPr>
                  </w:pPr>
                  <w:r>
                    <w:rPr>
                      <w:rFonts w:hint="eastAsia"/>
                      <w:highlight w:val="none"/>
                    </w:rPr>
                    <w:t>其他机遇</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p>
              </w:tc>
              <w:tc>
                <w:tcPr>
                  <w:tcW w:w="164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pStyle w:val="18"/>
              <w:numPr>
                <w:ilvl w:val="3"/>
                <w:numId w:val="0"/>
              </w:numPr>
              <w:rPr>
                <w:rFonts w:hint="eastAsia"/>
              </w:rPr>
            </w:pPr>
            <w:bookmarkStart w:id="4" w:name="_Toc17985671"/>
            <w:r>
              <w:rPr>
                <w:rFonts w:hint="eastAsia" w:ascii="Times New Roman" w:hAnsi="Times New Roman" w:eastAsia="宋体" w:cs="Times New Roman"/>
                <w:kern w:val="2"/>
                <w:sz w:val="21"/>
                <w:szCs w:val="22"/>
                <w:lang w:val="en-US" w:eastAsia="zh-CN" w:bidi="ar-SA"/>
              </w:rPr>
              <w:t>法律法要求规和其他要求的</w:t>
            </w:r>
            <w:r>
              <w:rPr>
                <w:rFonts w:hint="eastAsia"/>
              </w:rPr>
              <w:t>确定</w:t>
            </w:r>
            <w:bookmarkEnd w:id="4"/>
          </w:p>
          <w:p/>
        </w:tc>
        <w:tc>
          <w:tcPr>
            <w:tcW w:w="960" w:type="dxa"/>
            <w:vMerge w:val="restart"/>
          </w:tcPr>
          <w:p>
            <w:r>
              <w:rPr>
                <w:rFonts w:hint="eastAsia"/>
                <w:color w:val="000000"/>
                <w:szCs w:val="21"/>
                <w:lang w:val="en-US" w:eastAsia="zh-CN"/>
              </w:rPr>
              <w:t>O6.1.3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如：手册第6.1.3条款、《</w:t>
            </w:r>
            <w:r>
              <w:rPr>
                <w:rFonts w:hint="eastAsia"/>
                <w:color w:val="000000"/>
                <w:szCs w:val="21"/>
                <w:lang w:val="en-US" w:eastAsia="zh-CN"/>
              </w:rPr>
              <w:t>合规义务控制程序</w:t>
            </w:r>
            <w:r>
              <w:rPr>
                <w:rFonts w:hint="eastAsia"/>
                <w:lang w:val="en-US" w:eastAsia="zh-CN"/>
              </w:rPr>
              <w:t>》、《法律、法规和其它要求一览表》《</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rPr>
              <w:t>组织</w:t>
            </w:r>
            <w:r>
              <w:rPr>
                <w:rFonts w:hint="eastAsia"/>
                <w:vertAlign w:val="baseline"/>
                <w:lang w:val="en-US" w:eastAsia="zh-CN"/>
              </w:rPr>
              <w:t>收集法律法规和其他要求的渠道：</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default"/>
                <w:color w:val="000000"/>
                <w:lang w:val="en-US" w:eastAsia="zh-CN"/>
              </w:rPr>
              <w:sym w:font="Wingdings" w:char="00FE"/>
            </w:r>
            <w:r>
              <w:rPr>
                <w:rFonts w:hint="eastAsia"/>
                <w:color w:val="000000"/>
                <w:lang w:val="en-US" w:eastAsia="zh-CN"/>
              </w:rPr>
              <w:t xml:space="preserve">专业网站  </w:t>
            </w:r>
            <w:r>
              <w:rPr>
                <w:rFonts w:hint="default"/>
                <w:color w:val="000000"/>
                <w:lang w:val="en-US" w:eastAsia="zh-CN"/>
              </w:rPr>
              <w:sym w:font="Wingdings" w:char="00FE"/>
            </w:r>
            <w:r>
              <w:rPr>
                <w:rFonts w:hint="eastAsia"/>
                <w:color w:val="000000"/>
                <w:lang w:val="en-US" w:eastAsia="zh-CN"/>
              </w:rPr>
              <w:t xml:space="preserve">主管机构    </w:t>
            </w:r>
            <w:r>
              <w:rPr>
                <w:rFonts w:hint="default"/>
                <w:color w:val="000000"/>
                <w:lang w:val="en-US" w:eastAsia="zh-CN"/>
              </w:rPr>
              <w:sym w:font="Wingdings" w:char="00FE"/>
            </w:r>
            <w:r>
              <w:rPr>
                <w:rFonts w:hint="eastAsia"/>
                <w:color w:val="000000"/>
                <w:lang w:val="en-US" w:eastAsia="zh-CN"/>
              </w:rPr>
              <w:t xml:space="preserve">专业书店   </w:t>
            </w:r>
            <w:r>
              <w:rPr>
                <w:rFonts w:hint="default"/>
                <w:color w:val="000000"/>
                <w:lang w:val="en-US" w:eastAsia="zh-CN"/>
              </w:rPr>
              <w:sym w:font="Wingdings" w:char="00A8"/>
            </w:r>
            <w:r>
              <w:rPr>
                <w:rFonts w:hint="eastAsia"/>
                <w:color w:val="000000"/>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列举主要的相关法律法规</w:t>
            </w:r>
            <w:r>
              <w:rPr>
                <w:rFonts w:hint="eastAsia"/>
                <w:vertAlign w:val="baseline"/>
                <w:lang w:eastAsia="zh-CN"/>
              </w:rPr>
              <w:t>是：</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745"/>
              <w:gridCol w:w="1172"/>
              <w:gridCol w:w="1218"/>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1" w:type="dxa"/>
                </w:tcPr>
                <w:p>
                  <w:pPr>
                    <w:rPr>
                      <w:rFonts w:hint="default"/>
                      <w:highlight w:val="cyan"/>
                      <w:vertAlign w:val="baseline"/>
                      <w:lang w:val="en-US" w:eastAsia="zh-CN"/>
                    </w:rPr>
                  </w:pPr>
                  <w:r>
                    <w:rPr>
                      <w:rFonts w:hint="eastAsia"/>
                      <w:highlight w:val="none"/>
                      <w:vertAlign w:val="baseline"/>
                      <w:lang w:val="en-US" w:eastAsia="zh-CN"/>
                    </w:rPr>
                    <w:t>文件名称</w:t>
                  </w:r>
                </w:p>
              </w:tc>
              <w:tc>
                <w:tcPr>
                  <w:tcW w:w="1745" w:type="dxa"/>
                </w:tcPr>
                <w:p>
                  <w:pPr>
                    <w:rPr>
                      <w:rFonts w:hint="eastAsia"/>
                      <w:vertAlign w:val="baseline"/>
                      <w:lang w:val="en-US" w:eastAsia="zh-CN"/>
                    </w:rPr>
                  </w:pPr>
                  <w:r>
                    <w:rPr>
                      <w:rFonts w:hint="eastAsia"/>
                      <w:vertAlign w:val="baseline"/>
                      <w:lang w:val="en-US" w:eastAsia="zh-CN"/>
                    </w:rPr>
                    <w:t>性质</w:t>
                  </w:r>
                </w:p>
              </w:tc>
              <w:tc>
                <w:tcPr>
                  <w:tcW w:w="1172" w:type="dxa"/>
                </w:tcPr>
                <w:p>
                  <w:pPr>
                    <w:rPr>
                      <w:rFonts w:hint="default"/>
                      <w:vertAlign w:val="baseline"/>
                      <w:lang w:val="en-US" w:eastAsia="zh-CN"/>
                    </w:rPr>
                  </w:pPr>
                  <w:r>
                    <w:rPr>
                      <w:rFonts w:hint="eastAsia"/>
                      <w:vertAlign w:val="baseline"/>
                      <w:lang w:val="en-US" w:eastAsia="zh-CN"/>
                    </w:rPr>
                    <w:t>收集日期</w:t>
                  </w:r>
                </w:p>
              </w:tc>
              <w:tc>
                <w:tcPr>
                  <w:tcW w:w="1218" w:type="dxa"/>
                </w:tcPr>
                <w:p>
                  <w:pPr>
                    <w:rPr>
                      <w:rFonts w:hint="default"/>
                      <w:vertAlign w:val="baseline"/>
                      <w:lang w:val="en-US" w:eastAsia="zh-CN"/>
                    </w:rPr>
                  </w:pPr>
                  <w:r>
                    <w:rPr>
                      <w:rFonts w:hint="eastAsia"/>
                      <w:vertAlign w:val="baseline"/>
                      <w:lang w:val="en-US" w:eastAsia="zh-CN"/>
                    </w:rPr>
                    <w:t>收集人</w:t>
                  </w:r>
                </w:p>
              </w:tc>
              <w:tc>
                <w:tcPr>
                  <w:tcW w:w="1810" w:type="dxa"/>
                </w:tcPr>
                <w:p>
                  <w:pPr>
                    <w:rPr>
                      <w:rFonts w:hint="default"/>
                      <w:vertAlign w:val="baseline"/>
                      <w:lang w:val="en-US" w:eastAsia="zh-CN"/>
                    </w:rPr>
                  </w:pPr>
                  <w:r>
                    <w:rPr>
                      <w:rFonts w:hint="eastAsia"/>
                      <w:vertAlign w:val="baseline"/>
                      <w:lang w:val="en-US" w:eastAsia="zh-CN"/>
                    </w:rPr>
                    <w:t>使用方法</w:t>
                  </w:r>
                </w:p>
              </w:tc>
              <w:tc>
                <w:tcPr>
                  <w:tcW w:w="1457"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41" w:type="dxa"/>
                </w:tcPr>
                <w:p>
                  <w:pPr>
                    <w:rPr>
                      <w:rFonts w:hint="eastAsia"/>
                      <w:highlight w:val="cyan"/>
                      <w:vertAlign w:val="baseline"/>
                      <w:lang w:val="en-US" w:eastAsia="zh-CN"/>
                    </w:rPr>
                  </w:pPr>
                  <w:r>
                    <w:rPr>
                      <w:rFonts w:hint="eastAsia"/>
                      <w:szCs w:val="22"/>
                      <w:vertAlign w:val="baseline"/>
                      <w:lang w:val="en-US" w:eastAsia="zh-CN"/>
                    </w:rPr>
                    <w:t>安徽省安全生产条例</w:t>
                  </w:r>
                </w:p>
              </w:tc>
              <w:tc>
                <w:tcPr>
                  <w:tcW w:w="1745" w:type="dxa"/>
                </w:tcPr>
                <w:p>
                  <w:pPr>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标准 </w:t>
                  </w:r>
                  <w:r>
                    <w:rPr>
                      <w:rFonts w:hint="eastAsia"/>
                      <w:vertAlign w:val="baseline"/>
                      <w:lang w:val="en-US" w:eastAsia="zh-CN"/>
                    </w:rPr>
                    <w:sym w:font="Wingdings" w:char="00FE"/>
                  </w:r>
                  <w:r>
                    <w:rPr>
                      <w:rFonts w:hint="eastAsia"/>
                      <w:vertAlign w:val="baseline"/>
                      <w:lang w:val="en-US" w:eastAsia="zh-CN"/>
                    </w:rPr>
                    <w:t>法规</w:t>
                  </w:r>
                </w:p>
                <w:p>
                  <w:pPr>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通知 </w:t>
                  </w:r>
                  <w:r>
                    <w:rPr>
                      <w:rFonts w:hint="eastAsia"/>
                      <w:vertAlign w:val="baseline"/>
                      <w:lang w:val="en-US" w:eastAsia="zh-CN"/>
                    </w:rPr>
                    <w:sym w:font="Wingdings" w:char="00A8"/>
                  </w:r>
                </w:p>
              </w:tc>
              <w:tc>
                <w:tcPr>
                  <w:tcW w:w="1172"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2020-09</w:t>
                  </w:r>
                </w:p>
              </w:tc>
              <w:tc>
                <w:tcPr>
                  <w:tcW w:w="1218" w:type="dxa"/>
                  <w:vAlign w:val="top"/>
                </w:tcPr>
                <w:p>
                  <w:pPr>
                    <w:rPr>
                      <w:rFonts w:hint="default" w:ascii="Times New Roman" w:hAnsi="Times New Roman" w:eastAsia="宋体" w:cs="Times New Roman"/>
                      <w:kern w:val="2"/>
                      <w:sz w:val="21"/>
                      <w:vertAlign w:val="baseline"/>
                      <w:lang w:val="en-US" w:eastAsia="zh-CN" w:bidi="ar-SA"/>
                    </w:rPr>
                  </w:pPr>
                  <w:r>
                    <w:rPr>
                      <w:rFonts w:hint="eastAsia"/>
                    </w:rPr>
                    <w:t>吴哲</w:t>
                  </w:r>
                </w:p>
              </w:tc>
              <w:tc>
                <w:tcPr>
                  <w:tcW w:w="1810" w:type="dxa"/>
                </w:tcPr>
                <w:p>
                  <w:pPr>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 xml:space="preserve">直接下发 </w:t>
                  </w:r>
                </w:p>
                <w:p>
                  <w:pPr>
                    <w:rPr>
                      <w:rFonts w:hint="default"/>
                      <w:vertAlign w:val="baseline"/>
                      <w:lang w:val="en-US" w:eastAsia="zh-CN"/>
                    </w:rPr>
                  </w:pPr>
                  <w:r>
                    <w:rPr>
                      <w:rFonts w:hint="eastAsia"/>
                      <w:vertAlign w:val="baseline"/>
                      <w:lang w:val="en-US" w:eastAsia="zh-CN"/>
                    </w:rPr>
                    <w:sym w:font="Wingdings" w:char="00FE"/>
                  </w:r>
                  <w:r>
                    <w:rPr>
                      <w:rFonts w:hint="eastAsia"/>
                      <w:vertAlign w:val="baseline"/>
                      <w:lang w:val="en-US" w:eastAsia="zh-CN"/>
                    </w:rPr>
                    <w:t>转成内部文件</w:t>
                  </w:r>
                </w:p>
              </w:tc>
              <w:tc>
                <w:tcPr>
                  <w:tcW w:w="1457" w:type="dxa"/>
                  <w:vAlign w:val="top"/>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pStyle w:val="20"/>
                    <w:numPr>
                      <w:ilvl w:val="0"/>
                      <w:numId w:val="0"/>
                    </w:numPr>
                    <w:ind w:leftChars="0"/>
                    <w:rPr>
                      <w:rFonts w:hint="eastAsia"/>
                      <w:vertAlign w:val="baseline"/>
                      <w:lang w:val="en-US" w:eastAsia="zh-CN"/>
                    </w:rPr>
                  </w:pPr>
                  <w:r>
                    <w:rPr>
                      <w:rFonts w:hint="eastAsia" w:ascii="宋体" w:hAnsi="宋体"/>
                      <w:szCs w:val="21"/>
                    </w:rPr>
                    <w:t>劳动保障监察条例</w:t>
                  </w:r>
                </w:p>
              </w:tc>
              <w:tc>
                <w:tcPr>
                  <w:tcW w:w="1745" w:type="dxa"/>
                  <w:vAlign w:val="top"/>
                </w:tcPr>
                <w:p>
                  <w:pPr>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标准 </w:t>
                  </w:r>
                  <w:r>
                    <w:rPr>
                      <w:rFonts w:hint="eastAsia"/>
                      <w:vertAlign w:val="baseline"/>
                      <w:lang w:val="en-US" w:eastAsia="zh-CN"/>
                    </w:rPr>
                    <w:sym w:font="Wingdings" w:char="00FE"/>
                  </w:r>
                  <w:r>
                    <w:rPr>
                      <w:rFonts w:hint="eastAsia"/>
                      <w:vertAlign w:val="baseline"/>
                      <w:lang w:val="en-US" w:eastAsia="zh-CN"/>
                    </w:rPr>
                    <w:t>法规</w:t>
                  </w:r>
                </w:p>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sym w:font="Wingdings" w:char="00A8"/>
                  </w:r>
                  <w:r>
                    <w:rPr>
                      <w:rFonts w:hint="eastAsia"/>
                      <w:vertAlign w:val="baseline"/>
                      <w:lang w:val="en-US" w:eastAsia="zh-CN"/>
                    </w:rPr>
                    <w:t xml:space="preserve">通知 </w:t>
                  </w:r>
                  <w:r>
                    <w:rPr>
                      <w:rFonts w:hint="eastAsia"/>
                      <w:vertAlign w:val="baseline"/>
                      <w:lang w:val="en-US" w:eastAsia="zh-CN"/>
                    </w:rPr>
                    <w:sym w:font="Wingdings" w:char="00A8"/>
                  </w:r>
                </w:p>
              </w:tc>
              <w:tc>
                <w:tcPr>
                  <w:tcW w:w="1172"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2020-09</w:t>
                  </w:r>
                </w:p>
              </w:tc>
              <w:tc>
                <w:tcPr>
                  <w:tcW w:w="1218" w:type="dxa"/>
                  <w:vAlign w:val="top"/>
                </w:tcPr>
                <w:p>
                  <w:pPr>
                    <w:rPr>
                      <w:rFonts w:hint="eastAsia" w:ascii="Times New Roman" w:hAnsi="Times New Roman" w:eastAsia="宋体" w:cs="Times New Roman"/>
                      <w:kern w:val="2"/>
                      <w:sz w:val="21"/>
                      <w:vertAlign w:val="baseline"/>
                      <w:lang w:val="en-US" w:eastAsia="zh-CN" w:bidi="ar-SA"/>
                    </w:rPr>
                  </w:pPr>
                  <w:r>
                    <w:rPr>
                      <w:rFonts w:hint="eastAsia"/>
                    </w:rPr>
                    <w:t>吴哲</w:t>
                  </w:r>
                </w:p>
              </w:tc>
              <w:tc>
                <w:tcPr>
                  <w:tcW w:w="1810" w:type="dxa"/>
                  <w:vAlign w:val="top"/>
                </w:tcPr>
                <w:p>
                  <w:pPr>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 xml:space="preserve">直接下发 </w:t>
                  </w:r>
                </w:p>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sym w:font="Wingdings" w:char="00FE"/>
                  </w:r>
                  <w:r>
                    <w:rPr>
                      <w:rFonts w:hint="eastAsia"/>
                      <w:vertAlign w:val="baseline"/>
                      <w:lang w:val="en-US" w:eastAsia="zh-CN"/>
                    </w:rPr>
                    <w:t>转成内部文件</w:t>
                  </w:r>
                </w:p>
              </w:tc>
              <w:tc>
                <w:tcPr>
                  <w:tcW w:w="1457" w:type="dxa"/>
                </w:tcPr>
                <w:p>
                  <w:pPr>
                    <w:rPr>
                      <w:rFonts w:hint="eastAsia"/>
                      <w:vertAlign w:val="baseline"/>
                      <w:lang w:val="en-US" w:eastAsia="zh-CN"/>
                    </w:rPr>
                  </w:pPr>
                  <w:r>
                    <w:rPr>
                      <w:rFonts w:hint="eastAsia" w:cs="Times New Roman"/>
                      <w:kern w:val="2"/>
                      <w:sz w:val="21"/>
                      <w:vertAlign w:val="baseline"/>
                      <w:lang w:val="en-US" w:eastAsia="zh-CN" w:bidi="ar-S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Align w:val="top"/>
                </w:tcPr>
                <w:p>
                  <w:pPr>
                    <w:rPr>
                      <w:rFonts w:hint="eastAsia" w:ascii="Times New Roman" w:hAnsi="Times New Roman" w:eastAsia="宋体" w:cs="Times New Roman"/>
                      <w:kern w:val="2"/>
                      <w:sz w:val="21"/>
                      <w:vertAlign w:val="baseline"/>
                      <w:lang w:val="en-US" w:eastAsia="zh-CN" w:bidi="ar-SA"/>
                    </w:rPr>
                  </w:pPr>
                  <w:r>
                    <w:rPr>
                      <w:rFonts w:hint="eastAsia" w:ascii="宋体" w:hAnsi="宋体"/>
                      <w:szCs w:val="21"/>
                    </w:rPr>
                    <w:t>突发事件应急预案管理办法</w:t>
                  </w:r>
                </w:p>
              </w:tc>
              <w:tc>
                <w:tcPr>
                  <w:tcW w:w="1745" w:type="dxa"/>
                  <w:vAlign w:val="top"/>
                </w:tcPr>
                <w:p>
                  <w:pPr>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标准 </w:t>
                  </w:r>
                  <w:r>
                    <w:rPr>
                      <w:rFonts w:hint="eastAsia"/>
                      <w:vertAlign w:val="baseline"/>
                      <w:lang w:val="en-US" w:eastAsia="zh-CN"/>
                    </w:rPr>
                    <w:sym w:font="Wingdings" w:char="00FE"/>
                  </w:r>
                  <w:r>
                    <w:rPr>
                      <w:rFonts w:hint="eastAsia"/>
                      <w:vertAlign w:val="baseline"/>
                      <w:lang w:val="en-US" w:eastAsia="zh-CN"/>
                    </w:rPr>
                    <w:t>法规</w:t>
                  </w:r>
                </w:p>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sym w:font="Wingdings" w:char="00A8"/>
                  </w:r>
                  <w:r>
                    <w:rPr>
                      <w:rFonts w:hint="eastAsia"/>
                      <w:vertAlign w:val="baseline"/>
                      <w:lang w:val="en-US" w:eastAsia="zh-CN"/>
                    </w:rPr>
                    <w:t xml:space="preserve">通知 </w:t>
                  </w:r>
                  <w:r>
                    <w:rPr>
                      <w:rFonts w:hint="eastAsia"/>
                      <w:vertAlign w:val="baseline"/>
                      <w:lang w:val="en-US" w:eastAsia="zh-CN"/>
                    </w:rPr>
                    <w:sym w:font="Wingdings" w:char="00A8"/>
                  </w:r>
                </w:p>
              </w:tc>
              <w:tc>
                <w:tcPr>
                  <w:tcW w:w="1172"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2020-09</w:t>
                  </w:r>
                </w:p>
              </w:tc>
              <w:tc>
                <w:tcPr>
                  <w:tcW w:w="1218" w:type="dxa"/>
                  <w:vAlign w:val="top"/>
                </w:tcPr>
                <w:p>
                  <w:pPr>
                    <w:rPr>
                      <w:rFonts w:hint="eastAsia" w:ascii="Times New Roman" w:hAnsi="Times New Roman" w:eastAsia="宋体" w:cs="Times New Roman"/>
                      <w:kern w:val="2"/>
                      <w:sz w:val="21"/>
                      <w:vertAlign w:val="baseline"/>
                      <w:lang w:val="en-US" w:eastAsia="zh-CN" w:bidi="ar-SA"/>
                    </w:rPr>
                  </w:pPr>
                  <w:r>
                    <w:rPr>
                      <w:rFonts w:hint="eastAsia"/>
                    </w:rPr>
                    <w:t>吴哲</w:t>
                  </w:r>
                </w:p>
              </w:tc>
              <w:tc>
                <w:tcPr>
                  <w:tcW w:w="1810" w:type="dxa"/>
                  <w:vAlign w:val="top"/>
                </w:tcPr>
                <w:p>
                  <w:pPr>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 xml:space="preserve">直接下发 </w:t>
                  </w:r>
                </w:p>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sym w:font="Wingdings" w:char="00A8"/>
                  </w:r>
                  <w:r>
                    <w:rPr>
                      <w:rFonts w:hint="eastAsia"/>
                      <w:vertAlign w:val="baseline"/>
                      <w:lang w:val="en-US" w:eastAsia="zh-CN"/>
                    </w:rPr>
                    <w:t>转成内部文件</w:t>
                  </w:r>
                </w:p>
              </w:tc>
              <w:tc>
                <w:tcPr>
                  <w:tcW w:w="1457" w:type="dxa"/>
                  <w:vAlign w:val="top"/>
                </w:tcPr>
                <w:p>
                  <w:pPr>
                    <w:rPr>
                      <w:rFonts w:hint="eastAsia"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各部门</w:t>
                  </w:r>
                </w:p>
              </w:tc>
            </w:tr>
          </w:tbl>
          <w:p>
            <w:pPr>
              <w:rPr>
                <w:rFonts w:hint="eastAsia"/>
                <w:vertAlign w:val="baseline"/>
                <w:lang w:val="en-US" w:eastAsia="zh-CN"/>
              </w:rPr>
            </w:pPr>
            <w:r>
              <w:rPr>
                <w:rFonts w:hint="eastAsia"/>
                <w:vertAlign w:val="baseline"/>
                <w:lang w:val="en-US" w:eastAsia="zh-CN"/>
              </w:rPr>
              <w:t xml:space="preserve"> </w:t>
            </w:r>
          </w:p>
          <w:p>
            <w:pPr>
              <w:rPr>
                <w:rFonts w:hint="default" w:eastAsia="宋体"/>
                <w:color w:val="000000"/>
                <w:szCs w:val="18"/>
                <w:highlight w:val="none"/>
                <w:u w:val="single"/>
                <w:lang w:val="en-US" w:eastAsia="zh-CN"/>
              </w:rPr>
            </w:pPr>
            <w:r>
              <w:rPr>
                <w:color w:val="000000"/>
                <w:szCs w:val="18"/>
                <w:highlight w:val="none"/>
              </w:rPr>
              <w:t>查看《</w:t>
            </w:r>
            <w:r>
              <w:rPr>
                <w:rFonts w:hint="eastAsia"/>
                <w:color w:val="000000"/>
                <w:szCs w:val="18"/>
                <w:highlight w:val="none"/>
                <w:lang w:val="en-US" w:eastAsia="zh-CN"/>
              </w:rPr>
              <w:t>安全生产</w:t>
            </w:r>
            <w:r>
              <w:rPr>
                <w:color w:val="000000"/>
                <w:szCs w:val="18"/>
                <w:highlight w:val="none"/>
              </w:rPr>
              <w:t>许可证》</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（适用时）</w:t>
            </w:r>
          </w:p>
          <w:p>
            <w:pPr>
              <w:rPr>
                <w:rFonts w:hint="default"/>
                <w:color w:val="000000"/>
                <w:szCs w:val="18"/>
                <w:highlight w:val="none"/>
                <w:lang w:val="en-US" w:eastAsia="zh-CN"/>
              </w:rPr>
            </w:pPr>
            <w:r>
              <w:rPr>
                <w:rFonts w:hint="eastAsia"/>
                <w:color w:val="000000"/>
                <w:szCs w:val="18"/>
                <w:highlight w:val="none"/>
                <w:lang w:val="en-US" w:eastAsia="zh-CN"/>
              </w:rPr>
              <w:t>有效期至：</w:t>
            </w:r>
            <w:r>
              <w:rPr>
                <w:rFonts w:hint="eastAsia"/>
                <w:color w:val="000000"/>
                <w:szCs w:val="18"/>
                <w:highlight w:val="none"/>
                <w:u w:val="single"/>
                <w:lang w:val="en-US" w:eastAsia="zh-CN"/>
              </w:rPr>
              <w:t xml:space="preserve">           </w:t>
            </w:r>
          </w:p>
          <w:p>
            <w:pPr>
              <w:rPr>
                <w:rFonts w:hint="eastAsia"/>
                <w:color w:val="000000"/>
                <w:szCs w:val="18"/>
                <w:highlight w:val="none"/>
                <w:lang w:val="en-US" w:eastAsia="zh-CN"/>
              </w:rPr>
            </w:pPr>
            <w:r>
              <w:rPr>
                <w:rFonts w:hint="eastAsia"/>
                <w:color w:val="000000"/>
                <w:szCs w:val="18"/>
                <w:highlight w:val="none"/>
                <w:lang w:val="en-US" w:eastAsia="zh-CN"/>
              </w:rPr>
              <w:t>范围：</w:t>
            </w:r>
            <w:r>
              <w:rPr>
                <w:rFonts w:hint="eastAsia"/>
                <w:color w:val="000000"/>
                <w:highlight w:val="none"/>
                <w:lang w:val="en-US" w:eastAsia="zh-CN"/>
              </w:rPr>
              <w:t xml:space="preserve"> </w:t>
            </w:r>
            <w:r>
              <w:rPr>
                <w:rFonts w:hint="eastAsia"/>
                <w:color w:val="000000"/>
                <w:highlight w:val="none"/>
                <w:u w:val="single"/>
                <w:lang w:val="en-US" w:eastAsia="zh-CN"/>
              </w:rPr>
              <w:t xml:space="preserve">                            </w:t>
            </w:r>
          </w:p>
          <w:p>
            <w:pPr>
              <w:rPr>
                <w:rFonts w:hint="eastAsia"/>
                <w:vertAlign w:val="baseline"/>
                <w:lang w:val="en-US" w:eastAsia="zh-CN"/>
              </w:rPr>
            </w:pPr>
          </w:p>
          <w:p>
            <w:pPr>
              <w:rPr>
                <w:rFonts w:hint="eastAsia"/>
                <w:color w:val="000000"/>
                <w:szCs w:val="18"/>
                <w:highlight w:val="none"/>
                <w:lang w:val="en-US" w:eastAsia="zh-CN"/>
              </w:rPr>
            </w:pPr>
            <w:r>
              <w:rPr>
                <w:rFonts w:hint="eastAsia"/>
                <w:color w:val="000000"/>
                <w:szCs w:val="18"/>
                <w:highlight w:val="none"/>
                <w:lang w:val="en-US" w:eastAsia="zh-CN"/>
              </w:rPr>
              <w:t>根据</w:t>
            </w:r>
            <w:r>
              <w:rPr>
                <w:rFonts w:hint="eastAsia"/>
                <w:color w:val="000000"/>
                <w:highlight w:val="none"/>
                <w:lang w:val="en-US" w:eastAsia="zh-CN"/>
              </w:rPr>
              <w:t>该企业的产品/服务特性</w:t>
            </w:r>
            <w:r>
              <w:rPr>
                <w:rFonts w:hint="eastAsia"/>
                <w:color w:val="000000"/>
                <w:szCs w:val="18"/>
                <w:highlight w:val="none"/>
                <w:lang w:val="en-US" w:eastAsia="zh-CN"/>
              </w:rPr>
              <w:t>确认职业健康安全评价的种类：</w:t>
            </w:r>
          </w:p>
          <w:p>
            <w:pPr>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安全</w:t>
            </w:r>
            <w:r>
              <w:rPr>
                <w:rFonts w:hint="eastAsia"/>
                <w:color w:val="000000"/>
                <w:szCs w:val="18"/>
                <w:highlight w:val="none"/>
                <w:lang w:val="en-US" w:eastAsia="zh-CN"/>
              </w:rPr>
              <w:t>预评估</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安全</w:t>
            </w:r>
            <w:r>
              <w:rPr>
                <w:rFonts w:hint="eastAsia"/>
                <w:color w:val="000000"/>
                <w:szCs w:val="18"/>
                <w:highlight w:val="none"/>
                <w:lang w:val="en-US" w:eastAsia="zh-CN"/>
              </w:rPr>
              <w:t>现状评估</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szCs w:val="18"/>
                <w:highlight w:val="none"/>
                <w:lang w:val="en-US" w:eastAsia="zh-CN"/>
              </w:rPr>
              <w:t>职业健康安全预评估</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18"/>
                <w:highlight w:val="none"/>
                <w:lang w:val="en-US" w:eastAsia="zh-CN"/>
              </w:rPr>
              <w:t>职业健康安全现状评估</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eastAsia"/>
                <w:color w:val="000000"/>
                <w:szCs w:val="18"/>
                <w:highlight w:val="none"/>
                <w:lang w:eastAsia="zh-CN"/>
              </w:rPr>
            </w:pPr>
          </w:p>
          <w:p>
            <w:pPr>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安全评价报告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p>
          <w:p>
            <w:pPr>
              <w:rPr>
                <w:rFonts w:hint="eastAsia"/>
                <w:color w:val="000000"/>
                <w:szCs w:val="18"/>
                <w:highlight w:val="none"/>
                <w:lang w:eastAsia="zh-CN"/>
              </w:rPr>
            </w:pPr>
          </w:p>
          <w:p>
            <w:pPr>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职业病危害因素定期检测报告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19JC913416006820856612027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2019.8.7 </w:t>
            </w:r>
          </w:p>
          <w:p>
            <w:pPr>
              <w:rPr>
                <w:rFonts w:hint="eastAsia"/>
                <w:color w:val="000000"/>
                <w:szCs w:val="18"/>
                <w:highlight w:val="cyan"/>
                <w:lang w:eastAsia="zh-CN"/>
              </w:rPr>
            </w:pPr>
          </w:p>
          <w:p>
            <w:pPr>
              <w:rPr>
                <w:rFonts w:hint="default" w:eastAsia="宋体"/>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消防</w:t>
            </w:r>
            <w:r>
              <w:rPr>
                <w:rFonts w:hint="eastAsia"/>
                <w:color w:val="000000"/>
                <w:szCs w:val="18"/>
                <w:highlight w:val="none"/>
              </w:rPr>
              <w:t>验收</w:t>
            </w:r>
            <w:r>
              <w:rPr>
                <w:rFonts w:hint="eastAsia"/>
                <w:color w:val="000000"/>
                <w:szCs w:val="18"/>
                <w:highlight w:val="none"/>
                <w:lang w:val="en-US" w:eastAsia="zh-CN"/>
              </w:rPr>
              <w:t>意见书</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（无）</w:t>
            </w:r>
          </w:p>
          <w:p>
            <w:pPr>
              <w:rPr>
                <w:rFonts w:hint="default"/>
                <w:color w:val="000000"/>
                <w:szCs w:val="18"/>
                <w:highlight w:val="none"/>
                <w:lang w:val="en-US" w:eastAsia="zh-CN"/>
              </w:rPr>
            </w:pPr>
          </w:p>
          <w:p>
            <w:pPr>
              <w:rPr>
                <w:rFonts w:hint="default"/>
                <w:color w:val="000000"/>
                <w:szCs w:val="18"/>
                <w:highlight w:val="none"/>
                <w:lang w:val="en-US" w:eastAsia="zh-CN"/>
              </w:rPr>
            </w:pPr>
            <w:r>
              <w:rPr>
                <w:rFonts w:hint="eastAsia"/>
                <w:color w:val="000000"/>
                <w:szCs w:val="18"/>
                <w:highlight w:val="none"/>
                <w:lang w:val="en-US" w:eastAsia="zh-CN"/>
              </w:rPr>
              <w:t>现有产量与安评、职评的产能的对比  （无）</w:t>
            </w:r>
          </w:p>
          <w:p>
            <w:pPr>
              <w:rPr>
                <w:rFonts w:hint="default"/>
                <w:color w:val="000000"/>
                <w:szCs w:val="18"/>
                <w:highlight w:val="none"/>
                <w:lang w:val="en-US" w:eastAsia="zh-CN"/>
              </w:rPr>
            </w:pPr>
            <w:r>
              <w:rPr>
                <w:rFonts w:hint="eastAsia"/>
                <w:color w:val="000000"/>
                <w:szCs w:val="18"/>
                <w:highlight w:val="none"/>
                <w:lang w:val="en-US" w:eastAsia="zh-CN"/>
              </w:rPr>
              <w:t>现有产量：</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 xml:space="preserve"> </w:t>
            </w:r>
            <w:r>
              <w:rPr>
                <w:rFonts w:hint="eastAsia"/>
                <w:color w:val="000000"/>
                <w:szCs w:val="18"/>
                <w:highlight w:val="none"/>
                <w:lang w:val="en-US" w:eastAsia="zh-CN"/>
              </w:rPr>
              <w:t>评估的产能：</w:t>
            </w:r>
            <w:r>
              <w:rPr>
                <w:rFonts w:hint="eastAsia"/>
                <w:color w:val="000000"/>
                <w:szCs w:val="18"/>
                <w:highlight w:val="none"/>
                <w:u w:val="single"/>
                <w:lang w:val="en-US" w:eastAsia="zh-CN"/>
              </w:rPr>
              <w:t xml:space="preserve">          </w:t>
            </w:r>
          </w:p>
          <w:p>
            <w:pPr>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szCs w:val="18"/>
                <w:highlight w:val="none"/>
                <w:lang w:val="en-US" w:eastAsia="zh-CN"/>
              </w:rPr>
              <w:t>未超出产能</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已</w:t>
            </w:r>
            <w:r>
              <w:rPr>
                <w:rFonts w:hint="eastAsia"/>
                <w:color w:val="000000"/>
                <w:szCs w:val="18"/>
                <w:highlight w:val="none"/>
                <w:lang w:val="en-US" w:eastAsia="zh-CN"/>
              </w:rPr>
              <w:t>超出产能</w:t>
            </w:r>
            <w:r>
              <w:rPr>
                <w:rFonts w:hint="eastAsia"/>
                <w:color w:val="000000"/>
                <w:highlight w:val="none"/>
                <w:lang w:val="en-US" w:eastAsia="zh-CN"/>
              </w:rPr>
              <w:t>，说明：</w:t>
            </w:r>
            <w:r>
              <w:rPr>
                <w:rFonts w:hint="eastAsia"/>
                <w:color w:val="000000"/>
                <w:szCs w:val="18"/>
                <w:highlight w:val="none"/>
                <w:u w:val="single"/>
                <w:lang w:val="en-US" w:eastAsia="zh-CN"/>
              </w:rPr>
              <w:t xml:space="preserve">                    </w:t>
            </w:r>
          </w:p>
          <w:p>
            <w:pPr>
              <w:rPr>
                <w:rFonts w:hint="eastAsia"/>
                <w:vertAlign w:val="baselin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color w:val="000000"/>
                <w:szCs w:val="21"/>
                <w:lang w:val="en-US" w:eastAsia="zh-CN"/>
              </w:rPr>
              <w:t>措施的策划</w:t>
            </w:r>
          </w:p>
        </w:tc>
        <w:tc>
          <w:tcPr>
            <w:tcW w:w="960" w:type="dxa"/>
            <w:vMerge w:val="restart"/>
          </w:tcPr>
          <w:p>
            <w:r>
              <w:rPr>
                <w:rFonts w:hint="eastAsia"/>
                <w:color w:val="000000"/>
                <w:szCs w:val="21"/>
                <w:lang w:val="en-US" w:eastAsia="zh-CN"/>
              </w:rPr>
              <w:t>O6.1.4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如：手册第6.1.4条款、《管理方案》</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ind w:firstLine="420"/>
              <w:rPr>
                <w:rFonts w:hint="eastAsia"/>
              </w:rPr>
            </w:pPr>
            <w:r>
              <w:rPr>
                <w:rFonts w:hint="eastAsia"/>
              </w:rPr>
              <w:t>在策划措施时，组织必须考虑控制的层级（见</w:t>
            </w:r>
            <w:r>
              <w:t>8.1.2）</w:t>
            </w:r>
            <w:r>
              <w:rPr>
                <w:rFonts w:hint="eastAsia"/>
              </w:rPr>
              <w:t>和职业健康安全管理体系的输出。</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rPr>
              <w:t>在策划措施时，组织还应考虑最佳实践、可选技术方案以及财务、运行和经营等要求。</w:t>
            </w:r>
          </w:p>
          <w:tbl>
            <w:tblPr>
              <w:tblStyle w:val="7"/>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358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控制内容</w:t>
                  </w:r>
                </w:p>
              </w:tc>
              <w:tc>
                <w:tcPr>
                  <w:tcW w:w="3587"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风险和机遇</w:t>
                  </w:r>
                </w:p>
              </w:tc>
              <w:tc>
                <w:tcPr>
                  <w:tcW w:w="358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《风险和机遇控制程序》</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行政部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highlight w:val="none"/>
                      <w:lang w:val="en-US" w:eastAsia="zh-CN"/>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满足法律法规要求和其他要求</w:t>
                  </w:r>
                </w:p>
              </w:tc>
              <w:tc>
                <w:tcPr>
                  <w:tcW w:w="358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《运行控制程序》</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行政部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对紧急情况做出准备和响应</w:t>
                  </w:r>
                </w:p>
              </w:tc>
              <w:tc>
                <w:tcPr>
                  <w:tcW w:w="358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《应急准备和响应控制程序》</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行政部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eastAsia"/>
                      <w:highlight w:val="none"/>
                    </w:rPr>
                  </w:pPr>
                </w:p>
              </w:tc>
              <w:tc>
                <w:tcPr>
                  <w:tcW w:w="358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职业健康安全目标</w:t>
            </w:r>
          </w:p>
          <w:p/>
        </w:tc>
        <w:tc>
          <w:tcPr>
            <w:tcW w:w="960" w:type="dxa"/>
            <w:vMerge w:val="restart"/>
          </w:tcPr>
          <w:p>
            <w:r>
              <w:rPr>
                <w:rFonts w:hint="eastAsia"/>
                <w:color w:val="000000"/>
                <w:szCs w:val="21"/>
                <w:lang w:val="en-US" w:eastAsia="zh-CN"/>
              </w:rPr>
              <w:t>O6.2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如：手册第6.2条款、《</w:t>
            </w:r>
            <w:r>
              <w:rPr>
                <w:rFonts w:hint="eastAsia"/>
                <w:color w:val="000000"/>
                <w:szCs w:val="21"/>
                <w:lang w:val="en-US" w:eastAsia="zh-CN"/>
              </w:rPr>
              <w:t>职业健康安全目标</w:t>
            </w:r>
            <w:r>
              <w:rPr>
                <w:rFonts w:hint="eastAsia"/>
                <w:lang w:val="en-US" w:eastAsia="zh-CN"/>
              </w:rPr>
              <w:t>》、《分解目标》</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w:t>
            </w:r>
            <w:r>
              <w:rPr>
                <w:rFonts w:hint="eastAsia"/>
                <w:color w:val="000000"/>
                <w:szCs w:val="21"/>
                <w:lang w:val="en-US" w:eastAsia="zh-CN"/>
              </w:rPr>
              <w:t>职业健康安全</w:t>
            </w:r>
            <w:r>
              <w:rPr>
                <w:rFonts w:hint="eastAsia"/>
                <w:vertAlign w:val="baseline"/>
                <w:lang w:eastAsia="zh-CN"/>
              </w:rPr>
              <w:t>目标而建立的各层级</w:t>
            </w:r>
            <w:r>
              <w:rPr>
                <w:rFonts w:hint="eastAsia"/>
                <w:color w:val="000000"/>
                <w:szCs w:val="21"/>
                <w:lang w:val="en-US" w:eastAsia="zh-CN"/>
              </w:rPr>
              <w:t>职业健康安全</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color w:val="000000"/>
                <w:szCs w:val="21"/>
                <w:lang w:val="en-US" w:eastAsia="zh-CN"/>
              </w:rPr>
              <w:t>职业健康安全</w:t>
            </w:r>
            <w:r>
              <w:rPr>
                <w:rFonts w:hint="eastAsia"/>
                <w:vertAlign w:val="baseline"/>
                <w:lang w:eastAsia="zh-CN"/>
              </w:rPr>
              <w:t>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ascii="宋体" w:hAnsi="宋体"/>
                      <w:color w:val="auto"/>
                      <w:kern w:val="2"/>
                      <w:szCs w:val="24"/>
                      <w:lang w:eastAsia="zh-CN"/>
                    </w:rPr>
                  </w:pPr>
                  <w:r>
                    <w:rPr>
                      <w:rFonts w:hint="eastAsia"/>
                      <w:color w:val="auto"/>
                      <w:szCs w:val="21"/>
                      <w:lang w:val="en-US" w:eastAsia="zh-CN"/>
                    </w:rPr>
                    <w:t>职业健康安全</w:t>
                  </w:r>
                  <w:r>
                    <w:rPr>
                      <w:rFonts w:hint="eastAsia" w:ascii="宋体" w:hAnsi="宋体"/>
                      <w:color w:val="auto"/>
                      <w:kern w:val="2"/>
                      <w:szCs w:val="24"/>
                      <w:lang w:eastAsia="zh-CN"/>
                    </w:rPr>
                    <w:t>目标</w:t>
                  </w:r>
                </w:p>
              </w:tc>
              <w:tc>
                <w:tcPr>
                  <w:tcW w:w="3136"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ascii="宋体" w:hAnsi="宋体"/>
                      <w:color w:val="auto"/>
                      <w:kern w:val="2"/>
                      <w:szCs w:val="24"/>
                      <w:lang w:val="en-US" w:eastAsia="zh-CN"/>
                    </w:rPr>
                    <w:t>控制参数</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900"/>
                    </w:tabs>
                    <w:spacing w:line="300" w:lineRule="exact"/>
                    <w:rPr>
                      <w:rFonts w:hint="eastAsia"/>
                      <w:color w:val="auto"/>
                      <w:szCs w:val="21"/>
                      <w:lang w:val="en-US" w:eastAsia="zh-CN"/>
                    </w:rPr>
                  </w:pPr>
                  <w:r>
                    <w:rPr>
                      <w:rFonts w:hint="eastAsia"/>
                      <w:szCs w:val="21"/>
                    </w:rPr>
                    <w:t>火灾事故0发生</w:t>
                  </w:r>
                </w:p>
              </w:tc>
              <w:tc>
                <w:tcPr>
                  <w:tcW w:w="3136"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行政部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color w:val="auto"/>
                      <w:lang w:val="en-US" w:eastAsia="zh-CN"/>
                    </w:rPr>
                  </w:pPr>
                  <w:r>
                    <w:rPr>
                      <w:rFonts w:hint="eastAsia" w:ascii="宋体" w:hAnsi="宋体"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900"/>
                    </w:tabs>
                    <w:spacing w:line="300" w:lineRule="exact"/>
                    <w:rPr>
                      <w:rFonts w:hint="eastAsia"/>
                      <w:color w:val="auto"/>
                      <w:szCs w:val="21"/>
                      <w:lang w:val="en-US" w:eastAsia="zh-CN"/>
                    </w:rPr>
                  </w:pPr>
                  <w:r>
                    <w:rPr>
                      <w:rFonts w:hint="eastAsia"/>
                      <w:szCs w:val="21"/>
                    </w:rPr>
                    <w:t>废气合规排放100%</w:t>
                  </w:r>
                </w:p>
              </w:tc>
              <w:tc>
                <w:tcPr>
                  <w:tcW w:w="3136"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lang w:val="en-US" w:eastAsia="zh-CN" w:bidi="ar-SA"/>
                    </w:rPr>
                  </w:pPr>
                  <w:r>
                    <w:rPr>
                      <w:rFonts w:hint="eastAsia"/>
                      <w:szCs w:val="21"/>
                    </w:rPr>
                    <w:t>100%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行政部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olor w:val="auto"/>
                      <w:lang w:val="en-US" w:eastAsia="zh-CN"/>
                    </w:rPr>
                  </w:pPr>
                  <w:r>
                    <w:rPr>
                      <w:rFonts w:hint="eastAsia" w:ascii="宋体" w:hAnsi="宋体"/>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3"/>
                    <w:snapToGrid w:val="0"/>
                    <w:spacing w:line="300" w:lineRule="exact"/>
                    <w:rPr>
                      <w:rFonts w:hint="eastAsia"/>
                      <w:color w:val="auto"/>
                    </w:rPr>
                  </w:pPr>
                  <w:r>
                    <w:rPr>
                      <w:rFonts w:hint="eastAsia" w:hAnsi="宋体"/>
                      <w:szCs w:val="21"/>
                    </w:rPr>
                    <w:t>重大伤亡事故为0；</w:t>
                  </w:r>
                </w:p>
              </w:tc>
              <w:tc>
                <w:tcPr>
                  <w:tcW w:w="3136"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行政部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900"/>
                    </w:tabs>
                    <w:spacing w:line="300" w:lineRule="exact"/>
                    <w:rPr>
                      <w:rFonts w:hint="eastAsia"/>
                      <w:color w:val="auto"/>
                      <w:lang w:eastAsia="zh-CN"/>
                    </w:rPr>
                  </w:pPr>
                  <w:r>
                    <w:rPr>
                      <w:rFonts w:hint="eastAsia"/>
                      <w:szCs w:val="21"/>
                    </w:rPr>
                    <w:t>噪音排放达标</w:t>
                  </w:r>
                </w:p>
              </w:tc>
              <w:tc>
                <w:tcPr>
                  <w:tcW w:w="3136"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合格</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行政部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lang w:val="en-US" w:eastAsia="zh-CN"/>
                    </w:rPr>
                  </w:pPr>
                  <w:r>
                    <w:rPr>
                      <w:rFonts w:hint="eastAsia" w:ascii="宋体" w:hAnsi="宋体"/>
                      <w:color w:val="auto"/>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900"/>
                    </w:tabs>
                    <w:spacing w:line="300" w:lineRule="exact"/>
                    <w:rPr>
                      <w:rFonts w:hint="eastAsia"/>
                      <w:color w:val="auto"/>
                    </w:rPr>
                  </w:pPr>
                </w:p>
              </w:tc>
              <w:tc>
                <w:tcPr>
                  <w:tcW w:w="313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rPr>
                <w:rFonts w:hint="eastAsia"/>
                <w:vertAlign w:val="baseline"/>
                <w:lang w:eastAsia="zh-CN"/>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p>
            <w:pPr>
              <w:rPr>
                <w:rFonts w:hint="eastAsia"/>
                <w:vertAlign w:val="baseline"/>
                <w:lang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eastAsia="宋体"/>
                <w:lang w:val="en-US" w:eastAsia="zh-CN"/>
              </w:rPr>
            </w:pPr>
            <w:r>
              <w:rPr>
                <w:rFonts w:hint="eastAsia"/>
                <w:lang w:val="en-US" w:eastAsia="zh-CN"/>
              </w:rPr>
              <w:t>资源（总则）</w:t>
            </w:r>
          </w:p>
        </w:tc>
        <w:tc>
          <w:tcPr>
            <w:tcW w:w="960" w:type="dxa"/>
            <w:vMerge w:val="restart"/>
          </w:tcPr>
          <w:p>
            <w:r>
              <w:rPr>
                <w:rFonts w:hint="eastAsia"/>
                <w:color w:val="000000"/>
                <w:szCs w:val="21"/>
                <w:lang w:val="en-US" w:eastAsia="zh-CN"/>
              </w:rPr>
              <w:t>O7.1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如：手册第7.1条款、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和最高管理层确定并提供所需的资源，以建立、实施、保持和持续改进质量管理体系。 </w:t>
            </w:r>
          </w:p>
          <w:p>
            <w:pPr>
              <w:numPr>
                <w:ilvl w:val="0"/>
                <w:numId w:val="2"/>
              </w:numPr>
              <w:rPr>
                <w:rFonts w:hint="eastAsia"/>
                <w:color w:val="000000"/>
                <w:szCs w:val="21"/>
                <w:lang w:val="en-US" w:eastAsia="zh-CN"/>
              </w:rPr>
            </w:pPr>
            <w:r>
              <w:rPr>
                <w:rFonts w:hint="eastAsia"/>
                <w:color w:val="000000"/>
                <w:szCs w:val="21"/>
                <w:lang w:val="en-US" w:eastAsia="zh-CN"/>
              </w:rPr>
              <w:t>现有内部资源的能力；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 xml:space="preserve"> 11833.2</w:t>
            </w:r>
            <w:r>
              <w:rPr>
                <w:rFonts w:hint="eastAsia"/>
                <w:vertAlign w:val="baseline"/>
                <w:lang w:val="en-US" w:eastAsia="zh-CN"/>
              </w:rPr>
              <w:t>平方米；生产车间</w:t>
            </w:r>
            <w:r>
              <w:rPr>
                <w:rFonts w:hint="eastAsia"/>
                <w:u w:val="single"/>
                <w:vertAlign w:val="baseline"/>
                <w:lang w:val="en-US" w:eastAsia="zh-CN"/>
              </w:rPr>
              <w:t xml:space="preserve"> 3  </w:t>
            </w:r>
            <w:r>
              <w:rPr>
                <w:rFonts w:hint="eastAsia"/>
                <w:vertAlign w:val="baseline"/>
                <w:lang w:val="en-US" w:eastAsia="zh-CN"/>
              </w:rPr>
              <w:t>个；库房</w:t>
            </w:r>
            <w:r>
              <w:rPr>
                <w:rFonts w:hint="eastAsia"/>
                <w:u w:val="single"/>
                <w:vertAlign w:val="baseline"/>
                <w:lang w:val="en-US" w:eastAsia="zh-CN"/>
              </w:rPr>
              <w:t xml:space="preserve"> 5   </w:t>
            </w:r>
            <w:r>
              <w:rPr>
                <w:rFonts w:hint="eastAsia"/>
                <w:vertAlign w:val="baseline"/>
                <w:lang w:val="en-US" w:eastAsia="zh-CN"/>
              </w:rPr>
              <w:t>个；实验室1</w:t>
            </w:r>
            <w:r>
              <w:rPr>
                <w:rFonts w:hint="eastAsia"/>
                <w:u w:val="single"/>
                <w:vertAlign w:val="baseline"/>
                <w:lang w:val="en-US" w:eastAsia="zh-CN"/>
              </w:rPr>
              <w:t xml:space="preserve">   </w:t>
            </w:r>
            <w:r>
              <w:rPr>
                <w:rFonts w:hint="eastAsia"/>
                <w:vertAlign w:val="baseline"/>
                <w:lang w:val="en-US" w:eastAsia="zh-CN"/>
              </w:rPr>
              <w:t>个；</w:t>
            </w:r>
          </w:p>
          <w:p>
            <w:pPr>
              <w:widowControl/>
              <w:numPr>
                <w:ilvl w:val="0"/>
                <w:numId w:val="0"/>
              </w:numPr>
              <w:spacing w:before="40"/>
              <w:jc w:val="left"/>
              <w:rPr>
                <w:rFonts w:hint="default" w:eastAsia="宋体"/>
                <w:color w:val="000000"/>
                <w:lang w:val="en-US" w:eastAsia="zh-CN"/>
              </w:rPr>
            </w:pPr>
            <w:r>
              <w:rPr>
                <w:rFonts w:hint="eastAsia"/>
                <w:color w:val="000000"/>
              </w:rPr>
              <w:t>动力设施和辅助设施</w:t>
            </w:r>
            <w:r>
              <w:rPr>
                <w:rFonts w:hint="eastAsia"/>
                <w:color w:val="000000"/>
                <w:lang w:val="en-US" w:eastAsia="zh-CN"/>
              </w:rPr>
              <w:t>的状况，存在下列的场所：</w:t>
            </w:r>
          </w:p>
          <w:p>
            <w:pPr>
              <w:widowControl/>
              <w:numPr>
                <w:ilvl w:val="0"/>
                <w:numId w:val="0"/>
              </w:numPr>
              <w:spacing w:before="40"/>
              <w:ind w:firstLine="210" w:firstLineChars="100"/>
              <w:jc w:val="left"/>
              <w:rPr>
                <w:rFonts w:hint="eastAsia"/>
                <w:color w:val="000000"/>
              </w:rPr>
            </w:pPr>
            <w:r>
              <w:rPr>
                <w:rFonts w:hint="default"/>
                <w:color w:val="000000"/>
                <w:lang w:val="en-US" w:eastAsia="zh-CN"/>
              </w:rPr>
              <w:sym w:font="Wingdings" w:char="00FE"/>
            </w:r>
            <w:r>
              <w:rPr>
                <w:rFonts w:hint="eastAsia"/>
                <w:color w:val="000000"/>
              </w:rPr>
              <w:t>污水处理站</w:t>
            </w:r>
            <w:r>
              <w:rPr>
                <w:rFonts w:hint="eastAsia"/>
                <w:color w:val="000000"/>
                <w:lang w:val="en-US" w:eastAsia="zh-CN"/>
              </w:rPr>
              <w:t xml:space="preserve">  </w:t>
            </w:r>
            <w:r>
              <w:rPr>
                <w:rFonts w:hint="default"/>
                <w:color w:val="000000"/>
                <w:lang w:val="en-US" w:eastAsia="zh-CN"/>
              </w:rPr>
              <w:sym w:font="Wingdings" w:char="00FE"/>
            </w:r>
            <w:r>
              <w:rPr>
                <w:rFonts w:hint="eastAsia"/>
                <w:color w:val="000000"/>
              </w:rPr>
              <w:t>锅炉房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高压配电室</w:t>
            </w:r>
            <w:r>
              <w:rPr>
                <w:rFonts w:hint="eastAsia"/>
                <w:color w:val="000000"/>
                <w:lang w:val="en-US" w:eastAsia="zh-CN"/>
              </w:rPr>
              <w:t xml:space="preserve">  </w:t>
            </w:r>
            <w:r>
              <w:rPr>
                <w:rFonts w:hint="default"/>
                <w:color w:val="000000"/>
                <w:lang w:val="en-US" w:eastAsia="zh-CN"/>
              </w:rPr>
              <w:sym w:font="Wingdings" w:char="00FE"/>
            </w:r>
            <w:r>
              <w:rPr>
                <w:rFonts w:hint="eastAsia"/>
                <w:color w:val="000000"/>
              </w:rPr>
              <w:t>低压配电室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空压站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制冷站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消防中控室</w:t>
            </w:r>
          </w:p>
          <w:p>
            <w:pPr>
              <w:widowControl/>
              <w:numPr>
                <w:ilvl w:val="0"/>
                <w:numId w:val="0"/>
              </w:numPr>
              <w:spacing w:before="40"/>
              <w:ind w:left="210" w:leftChars="100" w:firstLine="0" w:firstLineChars="0"/>
              <w:jc w:val="left"/>
              <w:rPr>
                <w:rFonts w:hint="default" w:eastAsia="宋体"/>
                <w:color w:val="000000"/>
                <w:lang w:val="en-US" w:eastAsia="zh-CN"/>
              </w:rPr>
            </w:pPr>
            <w:r>
              <w:rPr>
                <w:rFonts w:hint="default"/>
                <w:color w:val="000000"/>
                <w:lang w:val="en-US" w:eastAsia="zh-CN"/>
              </w:rPr>
              <w:sym w:font="Wingdings" w:char="00A8"/>
            </w:r>
            <w:r>
              <w:rPr>
                <w:rFonts w:hint="eastAsia"/>
                <w:color w:val="000000"/>
              </w:rPr>
              <w:t>消防泵房</w:t>
            </w:r>
            <w:r>
              <w:rPr>
                <w:rFonts w:hint="eastAsia"/>
                <w:color w:val="000000"/>
                <w:lang w:val="en-US" w:eastAsia="zh-CN"/>
              </w:rPr>
              <w:t xml:space="preserve">   </w:t>
            </w:r>
            <w:r>
              <w:rPr>
                <w:rFonts w:hint="default"/>
                <w:color w:val="000000"/>
                <w:lang w:val="en-US" w:eastAsia="zh-CN"/>
              </w:rPr>
              <w:sym w:font="Wingdings" w:char="00FE"/>
            </w:r>
            <w:r>
              <w:rPr>
                <w:rFonts w:hint="eastAsia"/>
                <w:color w:val="000000"/>
              </w:rPr>
              <w:t>除尘装置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尾气处理</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危化品库房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危险废弃物存放处</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改建/扩建施工现场</w:t>
            </w:r>
            <w:r>
              <w:rPr>
                <w:rFonts w:hint="eastAsia"/>
                <w:color w:val="000000"/>
                <w:lang w:val="en-US" w:eastAsia="zh-CN"/>
              </w:rPr>
              <w:t xml:space="preserve"> </w:t>
            </w:r>
            <w:r>
              <w:rPr>
                <w:rFonts w:hint="default"/>
                <w:color w:val="000000"/>
                <w:lang w:val="en-US" w:eastAsia="zh-CN"/>
              </w:rPr>
              <w:sym w:font="Wingdings" w:char="00FE"/>
            </w:r>
            <w:r>
              <w:rPr>
                <w:rFonts w:hint="eastAsia"/>
                <w:color w:val="000000"/>
              </w:rPr>
              <w:t>食堂</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宿舍</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班车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鄂式破碎机，润药机，中草药粉碎机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FE"/>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锅炉         </w:t>
            </w:r>
          </w:p>
          <w:p>
            <w:pPr>
              <w:rPr>
                <w:rFonts w:hint="eastAsia"/>
                <w:color w:val="000000"/>
                <w:szCs w:val="21"/>
                <w:lang w:val="en-US" w:eastAsia="zh-CN"/>
              </w:rPr>
            </w:pPr>
          </w:p>
          <w:p>
            <w:pPr>
              <w:rPr>
                <w:rFonts w:hint="default"/>
                <w:color w:val="000000"/>
                <w:szCs w:val="21"/>
                <w:lang w:val="en-US" w:eastAsia="zh-CN"/>
              </w:rPr>
            </w:pPr>
            <w:r>
              <w:rPr>
                <w:rFonts w:hint="eastAsia"/>
                <w:color w:val="000000"/>
                <w:szCs w:val="21"/>
                <w:lang w:val="en-US" w:eastAsia="zh-CN"/>
              </w:rPr>
              <w:t>还存在哪些局限和不足：</w:t>
            </w:r>
            <w:r>
              <w:rPr>
                <w:rFonts w:hint="eastAsia"/>
                <w:u w:val="single"/>
                <w:vertAlign w:val="baseline"/>
                <w:lang w:val="en-US" w:eastAsia="zh-CN"/>
              </w:rPr>
              <w:t xml:space="preserve">                                  </w:t>
            </w:r>
          </w:p>
          <w:p>
            <w:pPr>
              <w:rPr>
                <w:rFonts w:hint="eastAsia"/>
                <w:color w:val="000000"/>
                <w:szCs w:val="21"/>
                <w:lang w:val="en-US" w:eastAsia="zh-CN"/>
              </w:rPr>
            </w:pPr>
          </w:p>
          <w:p>
            <w:pPr>
              <w:numPr>
                <w:ilvl w:val="0"/>
                <w:numId w:val="2"/>
              </w:numPr>
              <w:ind w:left="0" w:leftChars="0" w:firstLine="0" w:firstLineChars="0"/>
            </w:pPr>
            <w:r>
              <w:rPr>
                <w:rFonts w:hint="eastAsia"/>
                <w:color w:val="000000"/>
                <w:szCs w:val="21"/>
                <w:lang w:val="en-US" w:eastAsia="zh-CN"/>
              </w:rPr>
              <w:t>需要从外部供方获得的资源：</w:t>
            </w:r>
            <w:r>
              <w:rPr>
                <w:rFonts w:hint="eastAsia"/>
                <w:u w:val="none"/>
                <w:vertAlign w:val="baseline"/>
                <w:lang w:val="en-US" w:eastAsia="zh-CN"/>
              </w:rPr>
              <w:t xml:space="preserve"> </w:t>
            </w:r>
            <w:r>
              <w:rPr>
                <w:rFonts w:hint="eastAsia"/>
                <w:u w:val="single"/>
                <w:vertAlign w:val="baseline"/>
                <w:lang w:val="en-US" w:eastAsia="zh-CN"/>
              </w:rPr>
              <w:t xml:space="preserve">  无   </w:t>
            </w:r>
            <w:r>
              <w:rPr>
                <w:rFonts w:hint="eastAsia"/>
                <w:u w:val="none"/>
                <w:vertAlign w:val="baselin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eastAsia" w:eastAsia="宋体"/>
                <w:lang w:val="en-US" w:eastAsia="zh-CN"/>
              </w:rPr>
            </w:pPr>
            <w:r>
              <w:rPr>
                <w:rFonts w:hint="eastAsia"/>
                <w:lang w:val="en-US" w:eastAsia="zh-CN"/>
              </w:rPr>
              <w:t>意识</w:t>
            </w:r>
          </w:p>
        </w:tc>
        <w:tc>
          <w:tcPr>
            <w:tcW w:w="960" w:type="dxa"/>
            <w:vMerge w:val="restart"/>
          </w:tcPr>
          <w:p>
            <w:r>
              <w:rPr>
                <w:rFonts w:hint="eastAsia"/>
                <w:lang w:val="en-US" w:eastAsia="zh-CN"/>
              </w:rPr>
              <w:t>O</w:t>
            </w:r>
            <w:r>
              <w:rPr>
                <w:rFonts w:hint="eastAsia"/>
              </w:rPr>
              <w:t>7.</w:t>
            </w:r>
            <w:r>
              <w:rPr>
                <w:rFonts w:hint="eastAsia"/>
                <w:lang w:val="en-US" w:eastAsia="zh-CN"/>
              </w:rPr>
              <w:t>3</w:t>
            </w:r>
            <w:r>
              <w:rPr>
                <w:rFonts w:hint="eastAsia"/>
              </w:rPr>
              <w:t xml:space="preserve">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r>
              <w:rPr>
                <w:rFonts w:hint="eastAsia"/>
                <w:lang w:val="en-US" w:eastAsia="zh-CN"/>
              </w:rPr>
              <w:t>如：《人力资源</w:t>
            </w:r>
            <w:r>
              <w:rPr>
                <w:rFonts w:hint="eastAsia"/>
              </w:rPr>
              <w:t>控制</w:t>
            </w:r>
            <w:r>
              <w:rPr>
                <w:rFonts w:hint="eastAsia"/>
                <w:lang w:val="en-US" w:eastAsia="zh-CN"/>
              </w:rPr>
              <w:t>程序》、《能力和意识</w:t>
            </w:r>
            <w:r>
              <w:rPr>
                <w:rFonts w:hint="eastAsia"/>
              </w:rPr>
              <w:t>控制</w:t>
            </w:r>
            <w:r>
              <w:rPr>
                <w:rFonts w:hint="eastAsia"/>
                <w:lang w:val="en-US" w:eastAsia="zh-CN"/>
              </w:rPr>
              <w:t>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eastAsia"/>
              </w:rPr>
            </w:pPr>
            <w:r>
              <w:rPr>
                <w:rFonts w:hint="eastAsia"/>
              </w:rPr>
              <w:t>组织工作人员</w:t>
            </w:r>
            <w:r>
              <w:rPr>
                <w:rFonts w:hint="eastAsia"/>
                <w:lang w:val="en-US" w:eastAsia="zh-CN"/>
              </w:rPr>
              <w:t>提高</w:t>
            </w:r>
            <w:r>
              <w:rPr>
                <w:rFonts w:hint="eastAsia"/>
              </w:rPr>
              <w:t>职业健康安全</w:t>
            </w:r>
            <w:r>
              <w:rPr>
                <w:rFonts w:hint="eastAsia"/>
                <w:lang w:val="en-US" w:eastAsia="zh-CN"/>
              </w:rPr>
              <w:t>意识的方式</w:t>
            </w:r>
            <w:r>
              <w:rPr>
                <w:rFonts w:hint="eastAsia"/>
              </w:rPr>
              <w:t xml:space="preserve">： </w:t>
            </w:r>
          </w:p>
          <w:p>
            <w:pPr>
              <w:rPr>
                <w:rFonts w:hint="eastAsia"/>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需要让员工知晓的内容</w:t>
                  </w:r>
                </w:p>
              </w:tc>
              <w:tc>
                <w:tcPr>
                  <w:tcW w:w="4061" w:type="dxa"/>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方式</w:t>
                  </w:r>
                </w:p>
              </w:tc>
              <w:tc>
                <w:tcPr>
                  <w:tcW w:w="1968"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color w:val="auto"/>
                      <w:highlight w:val="none"/>
                      <w:vertAlign w:val="baseline"/>
                    </w:rPr>
                  </w:pPr>
                  <w:r>
                    <w:rPr>
                      <w:rFonts w:hint="eastAsia"/>
                      <w:color w:val="auto"/>
                      <w:highlight w:val="none"/>
                    </w:rPr>
                    <w:t>职业健康安全方针和职业健康安全目标</w:t>
                  </w:r>
                </w:p>
              </w:tc>
              <w:tc>
                <w:tcPr>
                  <w:tcW w:w="4061" w:type="dxa"/>
                </w:tcPr>
                <w:p>
                  <w:pPr>
                    <w:rPr>
                      <w:rFonts w:hint="default" w:eastAsia="宋体"/>
                      <w:color w:val="auto"/>
                      <w:highlight w:val="none"/>
                      <w:vertAlign w:val="baseline"/>
                      <w:lang w:val="en-US" w:eastAsia="zh-CN"/>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968"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color w:val="auto"/>
                      <w:highlight w:val="none"/>
                      <w:vertAlign w:val="baseline"/>
                    </w:rPr>
                  </w:pPr>
                  <w:r>
                    <w:rPr>
                      <w:rFonts w:hint="eastAsia"/>
                      <w:color w:val="auto"/>
                      <w:highlight w:val="none"/>
                    </w:rPr>
                    <w:t>其对职业健康安全管理体系有效性的贡献作用，包括提升职业健康安全绩效的益处</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不符合职业健康安全管理体系要求的影响和潜在后果</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 xml:space="preserve"> 与其相关的事件和调查结果</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color w:val="auto"/>
                      <w:highlight w:val="none"/>
                    </w:rPr>
                  </w:pPr>
                  <w:r>
                    <w:rPr>
                      <w:rFonts w:hint="eastAsia"/>
                      <w:color w:val="auto"/>
                      <w:highlight w:val="none"/>
                    </w:rPr>
                    <w:t>与其相关的危险源、职业健康安全风险和所确定的措施</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color w:val="auto"/>
                      <w:highlight w:val="none"/>
                    </w:rPr>
                  </w:pPr>
                  <w:r>
                    <w:rPr>
                      <w:rFonts w:hint="eastAsia"/>
                      <w:color w:val="auto"/>
                      <w:highlight w:val="none"/>
                    </w:rPr>
                    <w:t>从其所认为的存在急迫且严重</w:t>
                  </w:r>
                  <w:r>
                    <w:rPr>
                      <w:color w:val="auto"/>
                      <w:highlight w:val="none"/>
                    </w:rPr>
                    <w:t>危</w:t>
                  </w:r>
                  <w:r>
                    <w:rPr>
                      <w:rFonts w:hint="eastAsia"/>
                      <w:color w:val="auto"/>
                      <w:highlight w:val="none"/>
                    </w:rPr>
                    <w:t>及其生命或健康的工作状况中逃离的能力，以及为保护其免遭由此而产生的不当后果所做出的安排</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tcPr>
                <w:p>
                  <w:pPr>
                    <w:rPr>
                      <w:rFonts w:hint="eastAsia"/>
                      <w:color w:val="auto"/>
                      <w:highlight w:val="none"/>
                      <w:vertAlign w:val="baseline"/>
                    </w:rPr>
                  </w:pPr>
                </w:p>
              </w:tc>
            </w:tr>
          </w:tbl>
          <w:p>
            <w:pPr>
              <w:rPr>
                <w:rFonts w:hint="default"/>
                <w:lang w:val="en-US" w:eastAsia="zh-CN"/>
              </w:rPr>
            </w:pPr>
          </w:p>
        </w:tc>
        <w:tc>
          <w:tcPr>
            <w:tcW w:w="1585" w:type="dxa"/>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default" w:eastAsia="宋体"/>
                <w:lang w:val="en-US" w:eastAsia="zh-CN"/>
              </w:rPr>
            </w:pPr>
            <w:r>
              <w:rPr>
                <w:rFonts w:hint="eastAsia"/>
                <w:lang w:val="en-US" w:eastAsia="zh-CN"/>
              </w:rPr>
              <w:t>运行策划和控制</w:t>
            </w:r>
          </w:p>
          <w:p>
            <w:pPr>
              <w:rPr>
                <w:rFonts w:hint="eastAsia"/>
              </w:rPr>
            </w:pPr>
            <w:r>
              <w:rPr>
                <w:rFonts w:hint="eastAsia"/>
              </w:rPr>
              <w:t xml:space="preserve"> </w:t>
            </w:r>
          </w:p>
          <w:p>
            <w:pPr>
              <w:rPr>
                <w:rFonts w:hint="eastAsia"/>
              </w:rPr>
            </w:pPr>
          </w:p>
          <w:p>
            <w:pPr>
              <w:rPr>
                <w:rFonts w:hint="eastAsia"/>
              </w:rPr>
            </w:pPr>
          </w:p>
          <w:p>
            <w:pPr>
              <w:rPr>
                <w:rFonts w:ascii="Times New Roman" w:hAnsi="Times New Roman" w:eastAsia="宋体" w:cs="Times New Roman"/>
                <w:kern w:val="2"/>
                <w:sz w:val="21"/>
                <w:lang w:val="en-US" w:eastAsia="zh-CN" w:bidi="ar-SA"/>
              </w:rPr>
            </w:pPr>
          </w:p>
          <w:p>
            <w:pPr>
              <w:rPr>
                <w:rFonts w:hint="eastAsia"/>
                <w:highlight w:val="none"/>
              </w:rPr>
            </w:pPr>
          </w:p>
        </w:tc>
        <w:tc>
          <w:tcPr>
            <w:tcW w:w="960" w:type="dxa"/>
            <w:vMerge w:val="restart"/>
            <w:vAlign w:val="top"/>
          </w:tcPr>
          <w:p>
            <w:pPr>
              <w:rPr>
                <w:rFonts w:hint="default" w:ascii="Times New Roman" w:hAnsi="Times New Roman" w:eastAsia="宋体" w:cs="Times New Roman"/>
                <w:kern w:val="2"/>
                <w:sz w:val="21"/>
                <w:lang w:val="en-US" w:eastAsia="zh-CN" w:bidi="ar-SA"/>
              </w:rPr>
            </w:pPr>
            <w:r>
              <w:rPr>
                <w:rFonts w:hint="eastAsia"/>
                <w:lang w:val="en-US" w:eastAsia="zh-CN"/>
              </w:rPr>
              <w:t>O8</w:t>
            </w:r>
            <w:r>
              <w:rPr>
                <w:sz w:val="21"/>
                <w:szCs w:val="21"/>
                <w:lang w:eastAsia="zh-CN"/>
              </w:rPr>
              <w:t>.</w:t>
            </w:r>
            <w:r>
              <w:rPr>
                <w:rFonts w:hint="eastAsia"/>
                <w:sz w:val="21"/>
                <w:szCs w:val="21"/>
                <w:lang w:val="en-US" w:eastAsia="zh-CN"/>
              </w:rPr>
              <w:t>1</w:t>
            </w:r>
            <w:r>
              <w:rPr>
                <w:sz w:val="21"/>
                <w:szCs w:val="21"/>
                <w:lang w:eastAsia="zh-CN"/>
              </w:rPr>
              <w:t>.</w:t>
            </w:r>
            <w:r>
              <w:rPr>
                <w:rFonts w:hint="eastAsia"/>
                <w:sz w:val="21"/>
                <w:szCs w:val="21"/>
                <w:lang w:val="en-US" w:eastAsia="zh-CN"/>
              </w:rPr>
              <w:t>1</w:t>
            </w:r>
          </w:p>
          <w:p>
            <w:pPr>
              <w:rPr>
                <w:rFonts w:hint="eastAsia"/>
                <w:color w:val="auto"/>
                <w:highlight w:val="none"/>
                <w:lang w:val="en-US" w:eastAsia="zh-CN"/>
              </w:rPr>
            </w:pPr>
          </w:p>
        </w:tc>
        <w:tc>
          <w:tcPr>
            <w:tcW w:w="745" w:type="dxa"/>
            <w:vAlign w:val="top"/>
          </w:tcPr>
          <w:p>
            <w:pPr>
              <w:rPr>
                <w:rFonts w:hint="eastAsia"/>
                <w:color w:val="auto"/>
                <w:highlight w:val="none"/>
                <w:lang w:val="en-US" w:eastAsia="zh-CN"/>
              </w:rPr>
            </w:pPr>
            <w:r>
              <w:rPr>
                <w:rFonts w:hint="eastAsia"/>
                <w:lang w:val="en-US" w:eastAsia="zh-CN"/>
              </w:rPr>
              <w:t>文件名称</w:t>
            </w:r>
          </w:p>
        </w:tc>
        <w:tc>
          <w:tcPr>
            <w:tcW w:w="9259" w:type="dxa"/>
            <w:vAlign w:val="top"/>
          </w:tcPr>
          <w:p>
            <w:pPr>
              <w:rPr>
                <w:rFonts w:hint="eastAsia"/>
                <w:color w:val="auto"/>
                <w:highlight w:val="none"/>
                <w:lang w:val="en-US" w:eastAsia="zh-CN"/>
              </w:rPr>
            </w:pPr>
            <w:r>
              <w:rPr>
                <w:rFonts w:hint="eastAsia"/>
                <w:lang w:val="en-US" w:eastAsia="zh-CN"/>
              </w:rPr>
              <w:t>如</w:t>
            </w:r>
            <w:r>
              <w:rPr>
                <w:rFonts w:hint="eastAsia"/>
                <w:lang w:eastAsia="zh-CN"/>
              </w:rPr>
              <w:t>《</w:t>
            </w:r>
            <w:r>
              <w:rPr>
                <w:rFonts w:hint="eastAsia"/>
                <w:lang w:val="en-US" w:eastAsia="zh-CN"/>
              </w:rPr>
              <w:t>运行策划和控制程序</w:t>
            </w:r>
            <w:r>
              <w:rPr>
                <w:rFonts w:hint="eastAsia"/>
                <w:lang w:eastAsia="zh-CN"/>
              </w:rPr>
              <w:t>》，</w:t>
            </w:r>
            <w:r>
              <w:rPr>
                <w:rFonts w:hint="eastAsia"/>
                <w:lang w:val="en-US" w:eastAsia="zh-CN"/>
              </w:rPr>
              <w:t>管理手册第8</w:t>
            </w:r>
            <w:r>
              <w:rPr>
                <w:sz w:val="21"/>
                <w:szCs w:val="21"/>
                <w:lang w:eastAsia="zh-CN"/>
              </w:rPr>
              <w:t>.</w:t>
            </w:r>
            <w:r>
              <w:rPr>
                <w:rFonts w:hint="eastAsia"/>
                <w:sz w:val="21"/>
                <w:szCs w:val="21"/>
                <w:lang w:val="en-US" w:eastAsia="zh-CN"/>
              </w:rPr>
              <w:t>1</w:t>
            </w:r>
            <w:r>
              <w:rPr>
                <w:sz w:val="21"/>
                <w:szCs w:val="21"/>
                <w:lang w:eastAsia="zh-CN"/>
              </w:rPr>
              <w:t>.</w:t>
            </w:r>
            <w:r>
              <w:rPr>
                <w:rFonts w:hint="eastAsia"/>
                <w:sz w:val="21"/>
                <w:szCs w:val="21"/>
                <w:lang w:val="en-US" w:eastAsia="zh-CN"/>
              </w:rPr>
              <w:t>1</w:t>
            </w:r>
            <w:r>
              <w:rPr>
                <w:rFonts w:hint="eastAsia"/>
                <w:lang w:val="en-US" w:eastAsia="zh-CN"/>
              </w:rPr>
              <w:t>章</w:t>
            </w:r>
          </w:p>
        </w:tc>
        <w:tc>
          <w:tcPr>
            <w:tcW w:w="1585" w:type="dxa"/>
            <w:vMerge w:val="restart"/>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continue"/>
            <w:vAlign w:val="top"/>
          </w:tcPr>
          <w:p>
            <w:pPr>
              <w:rPr>
                <w:rFonts w:hint="eastAsia"/>
                <w:highlight w:val="none"/>
              </w:rPr>
            </w:pPr>
          </w:p>
        </w:tc>
        <w:tc>
          <w:tcPr>
            <w:tcW w:w="960" w:type="dxa"/>
            <w:vMerge w:val="continue"/>
            <w:vAlign w:val="top"/>
          </w:tcPr>
          <w:p>
            <w:pPr>
              <w:rPr>
                <w:rFonts w:hint="eastAsia"/>
                <w:color w:val="auto"/>
                <w:highlight w:val="none"/>
                <w:lang w:val="en-US" w:eastAsia="zh-CN"/>
              </w:rPr>
            </w:pPr>
          </w:p>
        </w:tc>
        <w:tc>
          <w:tcPr>
            <w:tcW w:w="745" w:type="dxa"/>
            <w:vAlign w:val="top"/>
          </w:tcPr>
          <w:p>
            <w:pPr>
              <w:rPr>
                <w:rFonts w:hint="eastAsia"/>
                <w:color w:val="auto"/>
                <w:highlight w:val="none"/>
                <w:lang w:val="en-US" w:eastAsia="zh-CN"/>
              </w:rPr>
            </w:pPr>
            <w:r>
              <w:rPr>
                <w:rFonts w:hint="eastAsia"/>
                <w:lang w:val="en-US" w:eastAsia="zh-CN"/>
              </w:rPr>
              <w:t>运行证据</w:t>
            </w:r>
          </w:p>
        </w:tc>
        <w:tc>
          <w:tcPr>
            <w:tcW w:w="9259" w:type="dxa"/>
            <w:vAlign w:val="top"/>
          </w:tcPr>
          <w:p>
            <w:pPr>
              <w:rPr>
                <w:rFonts w:hint="default"/>
                <w:highlight w:val="none"/>
                <w:lang w:val="en-US" w:eastAsia="zh-CN"/>
              </w:rPr>
            </w:pPr>
            <w:r>
              <w:rPr>
                <w:rFonts w:hint="default"/>
                <w:highlight w:val="none"/>
                <w:lang w:val="en-US" w:eastAsia="zh-CN"/>
              </w:rPr>
              <w:t>组织策划、实施、控制和保持所需的过程</w:t>
            </w:r>
            <w:r>
              <w:rPr>
                <w:rFonts w:hint="eastAsia"/>
                <w:highlight w:val="none"/>
                <w:lang w:val="en-US" w:eastAsia="zh-CN"/>
              </w:rPr>
              <w:t>：</w:t>
            </w:r>
          </w:p>
          <w:p>
            <w:pPr>
              <w:rPr>
                <w:rFonts w:hint="eastAsia"/>
                <w:highlight w:val="none"/>
                <w:lang w:val="en-US" w:eastAsia="zh-C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3952"/>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rFonts w:hint="eastAsia"/>
                      <w:highlight w:val="none"/>
                      <w:vertAlign w:val="baseline"/>
                      <w:lang w:val="en-US" w:eastAsia="zh-CN"/>
                    </w:rPr>
                  </w:pPr>
                  <w:r>
                    <w:rPr>
                      <w:rFonts w:hint="eastAsia"/>
                      <w:highlight w:val="none"/>
                      <w:lang w:val="en-US" w:eastAsia="zh-CN"/>
                    </w:rPr>
                    <w:t>步骤</w:t>
                  </w:r>
                </w:p>
              </w:tc>
              <w:tc>
                <w:tcPr>
                  <w:tcW w:w="3952" w:type="dxa"/>
                </w:tcPr>
                <w:p>
                  <w:pPr>
                    <w:rPr>
                      <w:rFonts w:hint="default"/>
                      <w:highlight w:val="none"/>
                      <w:vertAlign w:val="baseline"/>
                      <w:lang w:val="en-US" w:eastAsia="zh-CN"/>
                    </w:rPr>
                  </w:pPr>
                  <w:r>
                    <w:rPr>
                      <w:rFonts w:hint="eastAsia"/>
                      <w:highlight w:val="none"/>
                      <w:vertAlign w:val="baseline"/>
                      <w:lang w:val="en-US" w:eastAsia="zh-CN"/>
                    </w:rPr>
                    <w:t>职业健康安全措施</w:t>
                  </w:r>
                </w:p>
              </w:tc>
              <w:tc>
                <w:tcPr>
                  <w:tcW w:w="2109" w:type="dxa"/>
                </w:tcPr>
                <w:p>
                  <w:pPr>
                    <w:rPr>
                      <w:rFonts w:hint="eastAsia"/>
                      <w:highlight w:val="none"/>
                      <w:vertAlign w:val="baseline"/>
                      <w:lang w:val="en-US" w:eastAsia="zh-CN"/>
                    </w:rPr>
                  </w:pP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rFonts w:hint="default"/>
                      <w:highlight w:val="none"/>
                      <w:u w:val="none"/>
                      <w:lang w:val="en-US" w:eastAsia="zh-CN"/>
                    </w:rPr>
                  </w:pPr>
                  <w:r>
                    <w:rPr>
                      <w:rFonts w:hint="eastAsia"/>
                      <w:highlight w:val="none"/>
                      <w:lang w:val="en-US" w:eastAsia="zh-CN"/>
                    </w:rPr>
                    <w:t xml:space="preserve"> 建立过程准则；</w:t>
                  </w:r>
                </w:p>
              </w:tc>
              <w:tc>
                <w:tcPr>
                  <w:tcW w:w="395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编制XXX安全操作规程</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rFonts w:hint="default"/>
                      <w:highlight w:val="none"/>
                      <w:vertAlign w:val="baseline"/>
                      <w:lang w:val="en-US" w:eastAsia="zh-CN"/>
                    </w:rPr>
                  </w:pPr>
                  <w:r>
                    <w:rPr>
                      <w:rFonts w:hint="eastAsia"/>
                      <w:highlight w:val="none"/>
                      <w:lang w:val="en-US" w:eastAsia="zh-CN"/>
                    </w:rPr>
                    <w:t>按照准则实施过程控制；</w:t>
                  </w:r>
                </w:p>
              </w:tc>
              <w:tc>
                <w:tcPr>
                  <w:tcW w:w="395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有《</w:t>
                  </w:r>
                  <w:r>
                    <w:rPr>
                      <w:rFonts w:hint="eastAsia"/>
                      <w:highlight w:val="none"/>
                      <w:lang w:val="en-US" w:eastAsia="zh-CN"/>
                    </w:rPr>
                    <w:t>运行控制记录</w:t>
                  </w:r>
                  <w:r>
                    <w:rPr>
                      <w:rFonts w:hint="eastAsia"/>
                      <w:highlight w:val="none"/>
                      <w:vertAlign w:val="baseline"/>
                      <w:lang w:val="en-US" w:eastAsia="zh-CN"/>
                    </w:rPr>
                    <w:t>》</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982" w:type="dxa"/>
                </w:tcPr>
                <w:p>
                  <w:pPr>
                    <w:rPr>
                      <w:rFonts w:hint="eastAsia"/>
                      <w:highlight w:val="none"/>
                      <w:vertAlign w:val="baseline"/>
                      <w:lang w:val="en-US" w:eastAsia="zh-CN"/>
                    </w:rPr>
                  </w:pPr>
                  <w:r>
                    <w:rPr>
                      <w:rFonts w:hint="eastAsia"/>
                      <w:highlight w:val="none"/>
                      <w:lang w:val="en-US" w:eastAsia="zh-CN"/>
                    </w:rPr>
                    <w:t>保持和保留必要的文件化信息，以确信过程已按策划得到实施；</w:t>
                  </w:r>
                </w:p>
              </w:tc>
              <w:tc>
                <w:tcPr>
                  <w:tcW w:w="395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有《</w:t>
                  </w:r>
                  <w:r>
                    <w:rPr>
                      <w:rFonts w:hint="eastAsia"/>
                      <w:highlight w:val="none"/>
                      <w:lang w:val="en-US" w:eastAsia="zh-CN"/>
                    </w:rPr>
                    <w:t>运行控制记录</w:t>
                  </w:r>
                  <w:r>
                    <w:rPr>
                      <w:rFonts w:hint="eastAsia"/>
                      <w:highlight w:val="none"/>
                      <w:vertAlign w:val="baseline"/>
                      <w:lang w:val="en-US" w:eastAsia="zh-CN"/>
                    </w:rPr>
                    <w:t>》</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使工作适合于工作人员。</w:t>
                  </w:r>
                </w:p>
              </w:tc>
              <w:tc>
                <w:tcPr>
                  <w:tcW w:w="395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征求员工的意见</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在多雇主的工作场所，组织应与其他组织协调职业健康安全管理体系的相关部分。</w:t>
                  </w:r>
                </w:p>
              </w:tc>
              <w:tc>
                <w:tcPr>
                  <w:tcW w:w="395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与产品运输签订安全管理协议书</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bl>
          <w:p>
            <w:pPr>
              <w:rPr>
                <w:rFonts w:hint="eastAsia"/>
                <w:lang w:val="en-US" w:eastAsia="zh-CN"/>
              </w:rPr>
            </w:pPr>
          </w:p>
          <w:p>
            <w:pPr>
              <w:rPr>
                <w:rFonts w:hint="eastAsia"/>
                <w:color w:val="auto"/>
                <w:highlight w:val="none"/>
                <w:lang w:val="en-US" w:eastAsia="zh-CN"/>
              </w:rPr>
            </w:pPr>
            <w:r>
              <w:rPr>
                <w:rFonts w:hint="eastAsia"/>
                <w:lang w:val="en-US" w:eastAsia="zh-CN"/>
              </w:rPr>
              <w:t xml:space="preserve"> </w:t>
            </w:r>
          </w:p>
        </w:tc>
        <w:tc>
          <w:tcPr>
            <w:tcW w:w="1585" w:type="dxa"/>
            <w:vMerge w:val="continue"/>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eastAsia"/>
                <w:color w:val="auto"/>
                <w:szCs w:val="21"/>
                <w:highlight w:val="none"/>
                <w:lang w:val="en-US" w:eastAsia="zh-CN"/>
              </w:rPr>
            </w:pPr>
            <w:r>
              <w:rPr>
                <w:rFonts w:hint="eastAsia"/>
                <w:color w:val="auto"/>
                <w:szCs w:val="21"/>
                <w:highlight w:val="none"/>
                <w:lang w:val="en-US" w:eastAsia="zh-CN"/>
              </w:rPr>
              <w:t>变更管理</w:t>
            </w:r>
          </w:p>
          <w:p>
            <w:pPr>
              <w:rPr>
                <w:rFonts w:hint="eastAsia"/>
                <w:highlight w:val="none"/>
              </w:rPr>
            </w:pPr>
          </w:p>
        </w:tc>
        <w:tc>
          <w:tcPr>
            <w:tcW w:w="960" w:type="dxa"/>
            <w:vMerge w:val="restart"/>
            <w:vAlign w:val="top"/>
          </w:tcPr>
          <w:p>
            <w:pPr>
              <w:rPr>
                <w:rFonts w:hint="eastAsia"/>
                <w:highlight w:val="none"/>
                <w:lang w:val="en-US" w:eastAsia="zh-CN"/>
              </w:rPr>
            </w:pPr>
            <w:r>
              <w:rPr>
                <w:rFonts w:hint="eastAsia"/>
                <w:color w:val="auto"/>
                <w:highlight w:val="none"/>
                <w:lang w:val="en-US" w:eastAsia="zh-CN"/>
              </w:rPr>
              <w:t>O8</w:t>
            </w:r>
            <w:r>
              <w:rPr>
                <w:rFonts w:hint="eastAsia"/>
                <w:color w:val="auto"/>
                <w:highlight w:val="none"/>
              </w:rPr>
              <w:t>.</w:t>
            </w:r>
            <w:r>
              <w:rPr>
                <w:rFonts w:hint="eastAsia"/>
                <w:color w:val="auto"/>
                <w:highlight w:val="none"/>
                <w:lang w:val="en-US" w:eastAsia="zh-CN"/>
              </w:rPr>
              <w:t>1.3</w:t>
            </w:r>
            <w:r>
              <w:rPr>
                <w:rFonts w:hint="eastAsia"/>
                <w:color w:val="auto"/>
                <w:highlight w:val="none"/>
              </w:rPr>
              <w:t xml:space="preserve"> </w:t>
            </w:r>
            <w:r>
              <w:rPr>
                <w:rFonts w:hint="eastAsia"/>
                <w:color w:val="auto"/>
                <w:szCs w:val="21"/>
                <w:highlight w:val="none"/>
                <w:lang w:val="en-US" w:eastAsia="zh-CN"/>
              </w:rPr>
              <w:t> </w:t>
            </w:r>
          </w:p>
        </w:tc>
        <w:tc>
          <w:tcPr>
            <w:tcW w:w="745" w:type="dxa"/>
            <w:vAlign w:val="top"/>
          </w:tcPr>
          <w:p>
            <w:pPr>
              <w:rPr>
                <w:rFonts w:hint="eastAsia"/>
                <w:highlight w:val="none"/>
                <w:lang w:val="en-US" w:eastAsia="zh-CN"/>
              </w:rPr>
            </w:pPr>
            <w:r>
              <w:rPr>
                <w:rFonts w:hint="eastAsia"/>
                <w:color w:val="auto"/>
                <w:highlight w:val="none"/>
                <w:lang w:val="en-US" w:eastAsia="zh-CN"/>
              </w:rPr>
              <w:t>文件名称</w:t>
            </w:r>
          </w:p>
        </w:tc>
        <w:tc>
          <w:tcPr>
            <w:tcW w:w="9259" w:type="dxa"/>
            <w:vAlign w:val="top"/>
          </w:tcPr>
          <w:p>
            <w:pPr>
              <w:rPr>
                <w:rFonts w:hint="eastAsia"/>
                <w:highlight w:val="none"/>
                <w:lang w:val="en-US" w:eastAsia="zh-CN"/>
              </w:rPr>
            </w:pPr>
            <w:r>
              <w:rPr>
                <w:rFonts w:hint="eastAsia"/>
                <w:color w:val="auto"/>
                <w:highlight w:val="none"/>
                <w:lang w:val="en-US" w:eastAsia="zh-CN"/>
              </w:rPr>
              <w:t>如：手册第8.1.3条款、</w:t>
            </w:r>
          </w:p>
        </w:tc>
        <w:tc>
          <w:tcPr>
            <w:tcW w:w="1585" w:type="dxa"/>
            <w:vMerge w:val="restart"/>
          </w:tcPr>
          <w:p>
            <w:r>
              <w:rPr/>
              <w:sym w:font="Wingdings" w:char="00FE"/>
            </w:r>
            <w:r>
              <w:rPr>
                <w:rFonts w:hint="eastAsia"/>
              </w:rPr>
              <w:t>符合</w:t>
            </w:r>
          </w:p>
          <w:p>
            <w:pPr>
              <w:rPr>
                <w:highlight w:val="none"/>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continue"/>
            <w:vAlign w:val="top"/>
          </w:tcPr>
          <w:p>
            <w:pPr>
              <w:rPr>
                <w:rFonts w:hint="eastAsia"/>
                <w:highlight w:val="none"/>
              </w:rPr>
            </w:pPr>
          </w:p>
        </w:tc>
        <w:tc>
          <w:tcPr>
            <w:tcW w:w="960" w:type="dxa"/>
            <w:vMerge w:val="continue"/>
            <w:vAlign w:val="top"/>
          </w:tcPr>
          <w:p>
            <w:pPr>
              <w:rPr>
                <w:rFonts w:hint="eastAsia"/>
                <w:highlight w:val="none"/>
                <w:lang w:val="en-US" w:eastAsia="zh-CN"/>
              </w:rPr>
            </w:pPr>
          </w:p>
        </w:tc>
        <w:tc>
          <w:tcPr>
            <w:tcW w:w="745" w:type="dxa"/>
            <w:vAlign w:val="top"/>
          </w:tcPr>
          <w:p>
            <w:pPr>
              <w:rPr>
                <w:rFonts w:hint="eastAsia"/>
                <w:highlight w:val="none"/>
                <w:lang w:val="en-US" w:eastAsia="zh-CN"/>
              </w:rPr>
            </w:pPr>
            <w:r>
              <w:rPr>
                <w:rFonts w:hint="eastAsia"/>
                <w:color w:val="auto"/>
                <w:highlight w:val="none"/>
                <w:lang w:val="en-US" w:eastAsia="zh-CN"/>
              </w:rPr>
              <w:t>运行证据</w:t>
            </w:r>
          </w:p>
        </w:tc>
        <w:tc>
          <w:tcPr>
            <w:tcW w:w="9259" w:type="dxa"/>
            <w:vAlign w:val="top"/>
          </w:tcPr>
          <w:p>
            <w:pPr>
              <w:rPr>
                <w:rFonts w:hint="eastAsia"/>
                <w:color w:val="auto"/>
                <w:highlight w:val="none"/>
                <w:lang w:val="en-US" w:eastAsia="zh-CN"/>
              </w:rPr>
            </w:pPr>
            <w:r>
              <w:rPr>
                <w:rFonts w:hint="eastAsia"/>
                <w:color w:val="auto"/>
                <w:highlight w:val="none"/>
                <w:vertAlign w:val="baseline"/>
                <w:lang w:val="en-US" w:eastAsia="zh-CN"/>
              </w:rPr>
              <w:t>变更的内容：</w:t>
            </w:r>
            <w:r>
              <w:rPr>
                <w:rFonts w:hint="eastAsia"/>
                <w:color w:val="auto"/>
                <w:highlight w:val="none"/>
                <w:lang w:val="en-US" w:eastAsia="zh-CN"/>
              </w:rPr>
              <w:t xml:space="preserve">  </w:t>
            </w:r>
          </w:p>
          <w:p>
            <w:pPr>
              <w:rPr>
                <w:rFonts w:hint="eastAsia" w:eastAsia="宋体"/>
                <w:color w:val="auto"/>
                <w:highlight w:val="none"/>
                <w:lang w:val="en-US" w:eastAsia="zh-CN"/>
              </w:rPr>
            </w:pPr>
            <w:r>
              <w:rPr>
                <w:rFonts w:hint="eastAsia"/>
                <w:color w:val="auto"/>
                <w:szCs w:val="21"/>
                <w:highlight w:val="none"/>
                <w:lang w:eastAsia="zh-CN"/>
              </w:rPr>
              <w:t>□</w:t>
            </w:r>
            <w:r>
              <w:rPr>
                <w:rFonts w:hint="eastAsia"/>
                <w:color w:val="auto"/>
                <w:highlight w:val="none"/>
              </w:rPr>
              <w:t>工作场所的位置和周边环境</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工作组织</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工作条件</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szCs w:val="21"/>
                <w:highlight w:val="none"/>
                <w:lang w:val="en-US" w:eastAsia="zh-CN"/>
              </w:rPr>
              <w:t xml:space="preserve">设备 </w:t>
            </w:r>
            <w:r>
              <w:rPr>
                <w:rFonts w:hint="eastAsia"/>
                <w:color w:val="auto"/>
                <w:szCs w:val="21"/>
                <w:highlight w:val="none"/>
                <w:lang w:eastAsia="zh-CN"/>
              </w:rPr>
              <w:t>□</w:t>
            </w:r>
            <w:r>
              <w:rPr>
                <w:rFonts w:hint="eastAsia"/>
                <w:color w:val="auto"/>
                <w:szCs w:val="21"/>
                <w:highlight w:val="none"/>
                <w:lang w:val="en-US" w:eastAsia="zh-CN"/>
              </w:rPr>
              <w:t>劳动力</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法律法规要求和其他要求的变更</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rPr>
              <w:t>有关危险源和职业健康安全风险的知识或信息的变更</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rPr>
              <w:t>知识和技术的发展</w:t>
            </w:r>
            <w:r>
              <w:rPr>
                <w:rFonts w:hint="eastAsia"/>
                <w:color w:val="auto"/>
                <w:highlight w:val="none"/>
                <w:lang w:val="en-US" w:eastAsia="zh-CN"/>
              </w:rPr>
              <w:t xml:space="preserve"> </w:t>
            </w:r>
          </w:p>
          <w:p>
            <w:pPr>
              <w:rPr>
                <w:rFonts w:hint="eastAsia" w:eastAsia="宋体"/>
                <w:color w:val="auto"/>
                <w:highlight w:val="none"/>
                <w:lang w:val="en-US" w:eastAsia="zh-CN"/>
              </w:rPr>
            </w:pPr>
            <w:r>
              <w:rPr>
                <w:rFonts w:hint="eastAsia"/>
                <w:color w:val="auto"/>
                <w:highlight w:val="none"/>
                <w:lang w:val="en-US" w:eastAsia="zh-CN"/>
              </w:rPr>
              <w:sym w:font="Wingdings" w:char="00A8"/>
            </w:r>
            <w:r>
              <w:rPr>
                <w:rFonts w:hint="eastAsia"/>
                <w:color w:val="auto"/>
                <w:highlight w:val="none"/>
                <w:lang w:val="en-US" w:eastAsia="zh-CN"/>
              </w:rPr>
              <w:t>其他</w:t>
            </w:r>
            <w:r>
              <w:rPr>
                <w:rFonts w:hint="eastAsia"/>
                <w:color w:val="auto"/>
                <w:highlight w:val="none"/>
              </w:rPr>
              <w:t>；</w:t>
            </w:r>
            <w:r>
              <w:rPr>
                <w:rFonts w:hint="eastAsia"/>
                <w:color w:val="auto"/>
                <w:highlight w:val="none"/>
                <w:lang w:val="en-US" w:eastAsia="zh-CN"/>
              </w:rPr>
              <w:t>无变更</w:t>
            </w:r>
          </w:p>
          <w:p>
            <w:pPr>
              <w:rPr>
                <w:rFonts w:hint="eastAsia"/>
                <w:color w:val="auto"/>
                <w:highlight w:val="none"/>
                <w:lang w:val="en-US" w:eastAsia="zh-CN"/>
              </w:rPr>
            </w:pPr>
          </w:p>
          <w:p>
            <w:pPr>
              <w:rPr>
                <w:rFonts w:hint="default"/>
                <w:color w:val="auto"/>
                <w:highlight w:val="none"/>
                <w:u w:val="single"/>
                <w:lang w:val="en-US" w:eastAsia="zh-CN"/>
              </w:rPr>
            </w:pPr>
            <w:r>
              <w:rPr>
                <w:rFonts w:hint="eastAsia"/>
                <w:color w:val="auto"/>
                <w:highlight w:val="none"/>
                <w:lang w:val="en-US" w:eastAsia="zh-CN"/>
              </w:rPr>
              <w:t>抽取变更相关记录名称：</w:t>
            </w:r>
            <w:r>
              <w:rPr>
                <w:rFonts w:hint="eastAsia"/>
                <w:color w:val="auto"/>
                <w:highlight w:val="none"/>
                <w:u w:val="single"/>
                <w:lang w:val="en-US" w:eastAsia="zh-CN"/>
              </w:rPr>
              <w:t>《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962"/>
              <w:gridCol w:w="1885"/>
              <w:gridCol w:w="1119"/>
              <w:gridCol w:w="126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highlight w:val="none"/>
                      <w:vertAlign w:val="baseline"/>
                      <w:lang w:val="en-US" w:eastAsia="zh-CN"/>
                    </w:rPr>
                  </w:pPr>
                  <w:r>
                    <w:rPr>
                      <w:rFonts w:hint="eastAsia"/>
                      <w:color w:val="auto"/>
                      <w:highlight w:val="none"/>
                      <w:vertAlign w:val="baseline"/>
                      <w:lang w:val="en-US" w:eastAsia="zh-CN"/>
                    </w:rPr>
                    <w:t>日期</w:t>
                  </w:r>
                </w:p>
              </w:tc>
              <w:tc>
                <w:tcPr>
                  <w:tcW w:w="1962" w:type="dxa"/>
                </w:tcPr>
                <w:p>
                  <w:pPr>
                    <w:rPr>
                      <w:rFonts w:hint="default"/>
                      <w:color w:val="auto"/>
                      <w:highlight w:val="none"/>
                      <w:vertAlign w:val="baseline"/>
                      <w:lang w:val="en-US" w:eastAsia="zh-CN"/>
                    </w:rPr>
                  </w:pPr>
                  <w:r>
                    <w:rPr>
                      <w:rFonts w:hint="eastAsia"/>
                      <w:color w:val="auto"/>
                      <w:highlight w:val="none"/>
                      <w:vertAlign w:val="baseline"/>
                      <w:lang w:val="en-US" w:eastAsia="zh-CN"/>
                    </w:rPr>
                    <w:t>变更的原因</w:t>
                  </w:r>
                </w:p>
              </w:tc>
              <w:tc>
                <w:tcPr>
                  <w:tcW w:w="1885"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变更的内容</w:t>
                  </w:r>
                </w:p>
              </w:tc>
              <w:tc>
                <w:tcPr>
                  <w:tcW w:w="1119" w:type="dxa"/>
                  <w:vAlign w:val="top"/>
                </w:tcPr>
                <w:p>
                  <w:pPr>
                    <w:rPr>
                      <w:rFonts w:hint="default"/>
                      <w:color w:val="auto"/>
                      <w:highlight w:val="none"/>
                      <w:vertAlign w:val="baseline"/>
                      <w:lang w:val="en-US" w:eastAsia="zh-CN"/>
                    </w:rPr>
                  </w:pPr>
                  <w:r>
                    <w:rPr>
                      <w:rFonts w:hint="eastAsia"/>
                      <w:color w:val="auto"/>
                      <w:highlight w:val="none"/>
                      <w:vertAlign w:val="baseline"/>
                      <w:lang w:val="en-US" w:eastAsia="zh-CN"/>
                    </w:rPr>
                    <w:t>变更性质</w:t>
                  </w:r>
                </w:p>
              </w:tc>
              <w:tc>
                <w:tcPr>
                  <w:tcW w:w="1264" w:type="dxa"/>
                </w:tcPr>
                <w:p>
                  <w:pPr>
                    <w:rPr>
                      <w:rFonts w:hint="default"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评审结果</w:t>
                  </w:r>
                </w:p>
              </w:tc>
              <w:tc>
                <w:tcPr>
                  <w:tcW w:w="2046" w:type="dxa"/>
                </w:tcPr>
                <w:p>
                  <w:pPr>
                    <w:rPr>
                      <w:rFonts w:hint="default" w:eastAsia="宋体"/>
                      <w:color w:val="auto"/>
                      <w:highlight w:val="none"/>
                      <w:vertAlign w:val="baseline"/>
                      <w:lang w:val="en-US" w:eastAsia="zh-CN"/>
                    </w:rPr>
                  </w:pPr>
                  <w:r>
                    <w:rPr>
                      <w:rFonts w:hint="eastAsia"/>
                      <w:color w:val="auto"/>
                      <w:highlight w:val="no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highlight w:val="none"/>
                      <w:vertAlign w:val="baseline"/>
                      <w:lang w:val="en-US" w:eastAsia="zh-CN"/>
                    </w:rPr>
                  </w:pPr>
                </w:p>
              </w:tc>
              <w:tc>
                <w:tcPr>
                  <w:tcW w:w="1962" w:type="dxa"/>
                </w:tcPr>
                <w:p>
                  <w:pPr>
                    <w:rPr>
                      <w:rFonts w:hint="default"/>
                      <w:color w:val="auto"/>
                      <w:highlight w:val="none"/>
                      <w:vertAlign w:val="baseline"/>
                      <w:lang w:val="en-US" w:eastAsia="zh-CN"/>
                    </w:rPr>
                  </w:pPr>
                </w:p>
              </w:tc>
              <w:tc>
                <w:tcPr>
                  <w:tcW w:w="1885" w:type="dxa"/>
                </w:tcPr>
                <w:p>
                  <w:pPr>
                    <w:rPr>
                      <w:rFonts w:hint="default"/>
                      <w:color w:val="auto"/>
                      <w:highlight w:val="none"/>
                      <w:vertAlign w:val="baseline"/>
                      <w:lang w:val="en-US" w:eastAsia="zh-CN"/>
                    </w:rPr>
                  </w:pPr>
                </w:p>
              </w:tc>
              <w:tc>
                <w:tcPr>
                  <w:tcW w:w="1119" w:type="dxa"/>
                </w:tcPr>
                <w:p>
                  <w:pPr>
                    <w:rPr>
                      <w:rFonts w:hint="eastAsia"/>
                      <w:color w:val="auto"/>
                      <w:highlight w:val="none"/>
                    </w:rPr>
                  </w:pPr>
                  <w:r>
                    <w:rPr>
                      <w:rFonts w:hint="eastAsia"/>
                      <w:color w:val="auto"/>
                      <w:highlight w:val="none"/>
                    </w:rPr>
                    <w:sym w:font="Wingdings" w:char="00A8"/>
                  </w:r>
                  <w:r>
                    <w:rPr>
                      <w:rFonts w:hint="eastAsia"/>
                      <w:color w:val="auto"/>
                      <w:highlight w:val="none"/>
                    </w:rPr>
                    <w:t>临时性</w:t>
                  </w:r>
                </w:p>
                <w:p>
                  <w:pPr>
                    <w:rPr>
                      <w:rFonts w:hint="eastAsia"/>
                      <w:color w:val="auto"/>
                      <w:highlight w:val="none"/>
                      <w:vertAlign w:val="baseline"/>
                      <w:lang w:val="en-US" w:eastAsia="zh-CN"/>
                    </w:rPr>
                  </w:pPr>
                  <w:r>
                    <w:rPr>
                      <w:rFonts w:hint="eastAsia"/>
                      <w:color w:val="auto"/>
                      <w:highlight w:val="none"/>
                    </w:rPr>
                    <w:sym w:font="Wingdings" w:char="00A8"/>
                  </w:r>
                  <w:r>
                    <w:rPr>
                      <w:rFonts w:hint="eastAsia"/>
                      <w:color w:val="auto"/>
                      <w:highlight w:val="none"/>
                    </w:rPr>
                    <w:t>永久性</w:t>
                  </w:r>
                </w:p>
              </w:tc>
              <w:tc>
                <w:tcPr>
                  <w:tcW w:w="1264" w:type="dxa"/>
                </w:tcPr>
                <w:p>
                  <w:pPr>
                    <w:rPr>
                      <w:rFonts w:hint="default" w:ascii="Times New Roman" w:hAnsi="Times New Roman" w:eastAsia="宋体" w:cs="Times New Roman"/>
                      <w:color w:val="auto"/>
                      <w:kern w:val="2"/>
                      <w:sz w:val="21"/>
                      <w:highlight w:val="none"/>
                      <w:vertAlign w:val="baseline"/>
                      <w:lang w:val="en-US" w:eastAsia="zh-CN" w:bidi="ar-SA"/>
                    </w:rPr>
                  </w:pPr>
                </w:p>
              </w:tc>
              <w:tc>
                <w:tcPr>
                  <w:tcW w:w="2046" w:type="dxa"/>
                </w:tcPr>
                <w:p>
                  <w:pPr>
                    <w:rPr>
                      <w:rFonts w:hint="default"/>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1962"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1885"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1119" w:type="dxa"/>
                  <w:vAlign w:val="top"/>
                </w:tcPr>
                <w:p>
                  <w:pPr>
                    <w:rPr>
                      <w:rFonts w:hint="eastAsia"/>
                      <w:color w:val="auto"/>
                      <w:highlight w:val="none"/>
                    </w:rPr>
                  </w:pPr>
                  <w:r>
                    <w:rPr>
                      <w:rFonts w:hint="eastAsia"/>
                      <w:color w:val="auto"/>
                      <w:highlight w:val="none"/>
                    </w:rPr>
                    <w:sym w:font="Wingdings" w:char="00A8"/>
                  </w:r>
                  <w:r>
                    <w:rPr>
                      <w:rFonts w:hint="eastAsia"/>
                      <w:color w:val="auto"/>
                      <w:highlight w:val="none"/>
                    </w:rPr>
                    <w:t>临时性</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A8"/>
                  </w:r>
                  <w:r>
                    <w:rPr>
                      <w:rFonts w:hint="eastAsia"/>
                      <w:color w:val="auto"/>
                      <w:highlight w:val="none"/>
                    </w:rPr>
                    <w:t>永久性</w:t>
                  </w:r>
                </w:p>
              </w:tc>
              <w:tc>
                <w:tcPr>
                  <w:tcW w:w="1264"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2046" w:type="dxa"/>
                </w:tcPr>
                <w:p>
                  <w:pPr>
                    <w:rPr>
                      <w:rFonts w:hint="eastAsia"/>
                      <w:color w:val="auto"/>
                      <w:highlight w:val="none"/>
                      <w:vertAlign w:val="baseline"/>
                      <w:lang w:val="en-US" w:eastAsia="zh-CN"/>
                    </w:rPr>
                  </w:pPr>
                </w:p>
              </w:tc>
            </w:tr>
          </w:tbl>
          <w:p>
            <w:pPr>
              <w:rPr>
                <w:rFonts w:hint="eastAsia"/>
                <w:color w:val="auto"/>
                <w:highlight w:val="none"/>
                <w:lang w:val="en-US" w:eastAsia="zh-CN"/>
              </w:rPr>
            </w:pPr>
          </w:p>
          <w:p>
            <w:pPr>
              <w:rPr>
                <w:rFonts w:hint="eastAsia"/>
                <w:highlight w:val="none"/>
                <w:lang w:val="en-US" w:eastAsia="zh-CN"/>
              </w:rPr>
            </w:pPr>
          </w:p>
        </w:tc>
        <w:tc>
          <w:tcPr>
            <w:tcW w:w="1585" w:type="dxa"/>
            <w:vMerge w:val="continue"/>
            <w:tcBorders/>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eastAsia="宋体"/>
                <w:highlight w:val="none"/>
                <w:lang w:eastAsia="zh-CN"/>
              </w:rPr>
            </w:pPr>
            <w:r>
              <w:rPr>
                <w:rFonts w:hint="eastAsia"/>
                <w:highlight w:val="none"/>
              </w:rPr>
              <w:t>监视和测量</w:t>
            </w:r>
          </w:p>
        </w:tc>
        <w:tc>
          <w:tcPr>
            <w:tcW w:w="960" w:type="dxa"/>
            <w:vMerge w:val="restart"/>
          </w:tcPr>
          <w:p>
            <w:pPr>
              <w:rPr>
                <w:rFonts w:hint="eastAsia" w:eastAsia="宋体"/>
                <w:highlight w:val="none"/>
                <w:lang w:eastAsia="zh-CN"/>
              </w:rPr>
            </w:pPr>
            <w:r>
              <w:rPr>
                <w:rFonts w:hint="eastAsia"/>
                <w:highlight w:val="none"/>
                <w:lang w:val="en-US" w:eastAsia="zh-CN"/>
              </w:rPr>
              <w:t>O9</w:t>
            </w:r>
            <w:r>
              <w:rPr>
                <w:rFonts w:hint="eastAsia"/>
                <w:highlight w:val="none"/>
              </w:rPr>
              <w:t>.1.</w:t>
            </w:r>
            <w:r>
              <w:rPr>
                <w:rFonts w:hint="eastAsia"/>
                <w:highlight w:val="none"/>
                <w:lang w:val="en-US" w:eastAsia="zh-CN"/>
              </w:rPr>
              <w:t>1</w:t>
            </w:r>
          </w:p>
        </w:tc>
        <w:tc>
          <w:tcPr>
            <w:tcW w:w="74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25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highlight w:val="none"/>
                <w:lang w:val="en-US" w:eastAsia="zh-CN"/>
              </w:rPr>
              <w:t>《</w:t>
            </w:r>
            <w:r>
              <w:rPr>
                <w:rFonts w:hint="eastAsia"/>
                <w:highlight w:val="none"/>
              </w:rPr>
              <w:t>环境和职业健康安全监视和测量控制程序</w:t>
            </w:r>
            <w:r>
              <w:rPr>
                <w:rFonts w:hint="eastAsia"/>
                <w:highlight w:val="none"/>
                <w:lang w:val="en-US" w:eastAsia="zh-CN"/>
              </w:rPr>
              <w:t>》、</w:t>
            </w:r>
            <w:r>
              <w:rPr>
                <w:rFonts w:hint="eastAsia" w:ascii="Times New Roman" w:hAnsi="Times New Roman" w:eastAsia="宋体" w:cs="Times New Roman"/>
                <w:kern w:val="2"/>
                <w:sz w:val="21"/>
                <w:lang w:val="en-US" w:eastAsia="zh-CN" w:bidi="ar-SA"/>
              </w:rPr>
              <w:sym w:font="Wingdings" w:char="00FE"/>
            </w:r>
            <w:r>
              <w:rPr>
                <w:rFonts w:hint="eastAsia"/>
                <w:highlight w:val="none"/>
                <w:lang w:val="en-US" w:eastAsia="zh-CN"/>
              </w:rPr>
              <w:t>手册第9.1.1条款</w:t>
            </w:r>
          </w:p>
        </w:tc>
        <w:tc>
          <w:tcPr>
            <w:tcW w:w="1585" w:type="dxa"/>
            <w:vMerge w:val="restart"/>
          </w:tcPr>
          <w:p>
            <w:r>
              <w:rPr/>
              <w:sym w:font="Wingdings" w:char="00FE"/>
            </w:r>
            <w:r>
              <w:rPr>
                <w:rFonts w:hint="eastAsia"/>
              </w:rPr>
              <w:t>符合</w:t>
            </w:r>
          </w:p>
          <w:p>
            <w:pPr>
              <w:rPr>
                <w:highlight w:val="none"/>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160" w:type="dxa"/>
            <w:vMerge w:val="continue"/>
          </w:tcPr>
          <w:p>
            <w:pPr>
              <w:rPr>
                <w:highlight w:val="none"/>
              </w:rPr>
            </w:pPr>
          </w:p>
        </w:tc>
        <w:tc>
          <w:tcPr>
            <w:tcW w:w="960" w:type="dxa"/>
            <w:vMerge w:val="continue"/>
          </w:tcPr>
          <w:p>
            <w:pPr>
              <w:rPr>
                <w:highlight w:val="none"/>
              </w:rPr>
            </w:pPr>
          </w:p>
        </w:tc>
        <w:tc>
          <w:tcPr>
            <w:tcW w:w="745"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259" w:type="dxa"/>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650" w:type="dxa"/>
                </w:tcPr>
                <w:p>
                  <w:pP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48" w:type="dxa"/>
                </w:tcPr>
                <w:p>
                  <w:pPr>
                    <w:rPr>
                      <w:rFonts w:hint="eastAsia"/>
                      <w:color w:val="auto"/>
                      <w:highlight w:val="none"/>
                      <w:lang w:val="en-US" w:eastAsia="zh-CN"/>
                    </w:rPr>
                  </w:pPr>
                  <w:r>
                    <w:rPr>
                      <w:rFonts w:hint="eastAsia"/>
                      <w:color w:val="auto"/>
                      <w:highlight w:val="none"/>
                      <w:lang w:val="en-US" w:eastAsia="zh-CN"/>
                    </w:rPr>
                    <w:t>监视和测量的频次和时机</w:t>
                  </w:r>
                </w:p>
              </w:tc>
              <w:tc>
                <w:tcPr>
                  <w:tcW w:w="1887" w:type="dxa"/>
                </w:tcPr>
                <w:p>
                  <w:pP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tcPr>
                <w:p>
                  <w:pP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满足法律法规要求和其他要求的程度；</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职业健康和安全监测和检查；对结果的合规性进行分析</w:t>
                  </w:r>
                </w:p>
              </w:tc>
              <w:tc>
                <w:tcPr>
                  <w:tcW w:w="1848"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相关标准</w:t>
                  </w:r>
                </w:p>
              </w:tc>
              <w:tc>
                <w:tcPr>
                  <w:tcW w:w="203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default"/>
                      <w:color w:val="auto"/>
                      <w:highlight w:val="none"/>
                      <w:vertAlign w:val="baseline"/>
                      <w:lang w:val="en-US" w:eastAsia="zh-CN"/>
                    </w:rPr>
                  </w:pPr>
                </w:p>
              </w:tc>
              <w:tc>
                <w:tcPr>
                  <w:tcW w:w="1848" w:type="dxa"/>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实现组织职业健康安全目标的进展情况</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4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w:t>
                  </w:r>
                </w:p>
              </w:tc>
              <w:tc>
                <w:tcPr>
                  <w:tcW w:w="2034" w:type="dxa"/>
                  <w:vAlign w:val="top"/>
                </w:tcPr>
                <w:p>
                  <w:pPr>
                    <w:widowControl/>
                    <w:spacing w:before="40"/>
                    <w:jc w:val="left"/>
                    <w:rPr>
                      <w:rFonts w:hint="eastAsia"/>
                      <w:color w:val="auto"/>
                      <w:szCs w:val="21"/>
                      <w:highlight w:val="none"/>
                      <w:lang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运行控制和其他控制的有效性</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eastAsia"/>
                      <w:color w:val="auto"/>
                      <w:highlight w:val="none"/>
                      <w:vertAlign w:val="baseline"/>
                      <w:lang w:val="en-US" w:eastAsia="zh-CN"/>
                    </w:rPr>
                  </w:pPr>
                </w:p>
              </w:tc>
              <w:tc>
                <w:tcPr>
                  <w:tcW w:w="1848"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运行程序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48" w:type="dxa"/>
                  <w:vAlign w:val="top"/>
                </w:tcPr>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内审程序和计划</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48"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48" w:type="dxa"/>
                  <w:vAlign w:val="top"/>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highlight w:val="none"/>
                <w:lang w:val="en-US" w:eastAsia="zh-CN"/>
              </w:rPr>
            </w:pP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pPr>
              <w:rPr>
                <w:rFonts w:hint="eastAsia"/>
                <w:lang w:val="en-US" w:eastAsia="zh-CN"/>
              </w:rPr>
            </w:pPr>
            <w:r>
              <w:rPr>
                <w:rFonts w:hint="eastAsia"/>
                <w:lang w:val="en-US" w:eastAsia="zh-CN"/>
              </w:rPr>
              <w:t>管理评审</w:t>
            </w:r>
          </w:p>
          <w:p>
            <w:pPr>
              <w:rPr>
                <w:rFonts w:hint="eastAsia"/>
                <w:lang w:val="en-US" w:eastAsia="zh-CN"/>
              </w:rPr>
            </w:pPr>
          </w:p>
        </w:tc>
        <w:tc>
          <w:tcPr>
            <w:tcW w:w="960" w:type="dxa"/>
            <w:vMerge w:val="restart"/>
          </w:tcPr>
          <w:p>
            <w:pPr>
              <w:rPr>
                <w:rFonts w:hint="default" w:eastAsia="宋体"/>
                <w:lang w:val="en-US" w:eastAsia="zh-CN"/>
              </w:rPr>
            </w:pPr>
            <w:r>
              <w:rPr>
                <w:rFonts w:hint="eastAsia"/>
                <w:lang w:val="en-US" w:eastAsia="zh-CN"/>
              </w:rPr>
              <w:t>O9.3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 xml:space="preserve">《管理评审控制程序》 </w:t>
            </w:r>
            <w:r>
              <w:rPr>
                <w:rFonts w:hint="eastAsia" w:ascii="Times New Roman" w:hAnsi="Times New Roman" w:eastAsia="宋体" w:cs="Times New Roman"/>
                <w:kern w:val="2"/>
                <w:sz w:val="21"/>
                <w:lang w:val="en-US" w:eastAsia="zh-CN" w:bidi="ar-SA"/>
              </w:rPr>
              <w:sym w:font="Wingdings" w:char="00FE"/>
            </w:r>
            <w:r>
              <w:rPr>
                <w:rFonts w:hint="eastAsia" w:cs="Times New Roman"/>
                <w:kern w:val="2"/>
                <w:sz w:val="21"/>
                <w:lang w:val="en-US" w:eastAsia="zh-CN" w:bidi="ar-SA"/>
              </w:rPr>
              <w:t>管理手册第9.3章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pPr>
              <w:rPr>
                <w:rFonts w:hint="default" w:eastAsia="宋体"/>
                <w:lang w:val="en-US" w:eastAsia="zh-CN"/>
              </w:rPr>
            </w:pPr>
          </w:p>
        </w:tc>
        <w:tc>
          <w:tcPr>
            <w:tcW w:w="960" w:type="dxa"/>
            <w:vMerge w:val="continue"/>
          </w:tcPr>
          <w:p/>
        </w:tc>
        <w:tc>
          <w:tcPr>
            <w:tcW w:w="745" w:type="dxa"/>
          </w:tcPr>
          <w:p>
            <w:pPr>
              <w:widowControl/>
              <w:spacing w:before="40"/>
              <w:jc w:val="left"/>
              <w:rPr>
                <w:rFonts w:hint="eastAsia"/>
                <w:color w:val="000000"/>
                <w:szCs w:val="18"/>
              </w:rPr>
            </w:pPr>
          </w:p>
          <w:p>
            <w:r>
              <w:rPr>
                <w:rFonts w:hint="eastAsia"/>
                <w:lang w:val="en-US" w:eastAsia="zh-CN"/>
              </w:rPr>
              <w:t>运行证据</w:t>
            </w:r>
          </w:p>
        </w:tc>
        <w:tc>
          <w:tcPr>
            <w:tcW w:w="9259" w:type="dxa"/>
          </w:tcPr>
          <w:p>
            <w:pPr>
              <w:widowControl/>
              <w:spacing w:before="40"/>
              <w:jc w:val="left"/>
              <w:rPr>
                <w:rFonts w:hint="eastAsia"/>
                <w:color w:val="000000"/>
                <w:szCs w:val="18"/>
              </w:rPr>
            </w:pPr>
            <w:r>
              <w:rPr>
                <w:rFonts w:hint="eastAsia"/>
                <w:color w:val="000000"/>
                <w:szCs w:val="18"/>
              </w:rPr>
              <w:t>自</w:t>
            </w:r>
            <w:r>
              <w:rPr>
                <w:rFonts w:hint="default"/>
                <w:lang w:val="en-US" w:eastAsia="zh-CN"/>
              </w:rPr>
              <w:sym w:font="Wingdings" w:char="00FE"/>
            </w:r>
            <w:r>
              <w:rPr>
                <w:rFonts w:hint="eastAsia"/>
                <w:color w:val="000000"/>
                <w:szCs w:val="18"/>
              </w:rPr>
              <w:t>管理体系建立后</w:t>
            </w:r>
            <w:r>
              <w:rPr>
                <w:rFonts w:hint="eastAsia"/>
                <w:color w:val="000000"/>
                <w:szCs w:val="18"/>
                <w:lang w:val="en-US" w:eastAsia="zh-CN"/>
              </w:rPr>
              <w:t>/</w:t>
            </w:r>
            <w:r>
              <w:rPr>
                <w:rFonts w:hint="default"/>
                <w:lang w:val="en-US" w:eastAsia="zh-CN"/>
              </w:rPr>
              <w:sym w:font="Wingdings" w:char="00A8"/>
            </w:r>
            <w:r>
              <w:rPr>
                <w:rFonts w:hint="eastAsia"/>
                <w:lang w:val="en-US" w:eastAsia="zh-CN"/>
              </w:rPr>
              <w:t>近一年</w:t>
            </w:r>
            <w:r>
              <w:rPr>
                <w:rFonts w:hint="eastAsia"/>
                <w:color w:val="000000"/>
                <w:szCs w:val="18"/>
              </w:rPr>
              <w:t>，于</w:t>
            </w:r>
            <w:r>
              <w:rPr>
                <w:rFonts w:hint="eastAsia"/>
                <w:color w:val="000000"/>
                <w:szCs w:val="18"/>
                <w:u w:val="single"/>
              </w:rPr>
              <w:t xml:space="preserve"> </w:t>
            </w:r>
            <w:r>
              <w:rPr>
                <w:rFonts w:hint="eastAsia"/>
                <w:color w:val="000000"/>
                <w:szCs w:val="18"/>
                <w:u w:val="single"/>
                <w:lang w:val="en-US" w:eastAsia="zh-CN"/>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w:t>
            </w:r>
            <w:r>
              <w:rPr>
                <w:color w:val="000000"/>
                <w:szCs w:val="18"/>
                <w:u w:val="single"/>
              </w:rPr>
              <w:t xml:space="preserve"> </w:t>
            </w:r>
            <w:r>
              <w:rPr>
                <w:rFonts w:hint="eastAsia"/>
                <w:color w:val="000000"/>
                <w:szCs w:val="18"/>
              </w:rPr>
              <w:t>日实施了管理评审；</w:t>
            </w:r>
          </w:p>
          <w:p>
            <w:pPr>
              <w:widowControl/>
              <w:spacing w:before="40"/>
              <w:jc w:val="left"/>
              <w:rPr>
                <w:rFonts w:hint="eastAsia" w:eastAsia="宋体"/>
                <w:color w:val="000000"/>
                <w:szCs w:val="18"/>
                <w:lang w:val="en-US" w:eastAsia="zh-CN"/>
              </w:rPr>
            </w:pPr>
            <w:r>
              <w:rPr>
                <w:rFonts w:hint="eastAsia"/>
                <w:color w:val="000000"/>
                <w:szCs w:val="18"/>
                <w:lang w:val="en-US" w:eastAsia="zh-CN"/>
              </w:rPr>
              <w:t>查看</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 xml:space="preserve">计划  </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 xml:space="preserve">记录（工作总结）  </w:t>
            </w:r>
            <w:r>
              <w:rPr>
                <w:rFonts w:hint="eastAsia"/>
                <w:color w:val="000000"/>
                <w:szCs w:val="21"/>
              </w:rPr>
              <w:t>□管理评审</w:t>
            </w:r>
            <w:r>
              <w:rPr>
                <w:rFonts w:hint="eastAsia"/>
                <w:color w:val="000000"/>
                <w:szCs w:val="21"/>
                <w:lang w:val="en-US" w:eastAsia="zh-CN"/>
              </w:rPr>
              <w:t xml:space="preserve">纪要  </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报告</w:t>
            </w:r>
          </w:p>
          <w:p>
            <w:pPr>
              <w:widowControl/>
              <w:spacing w:before="40"/>
              <w:jc w:val="left"/>
              <w:rPr>
                <w:rFonts w:hint="eastAsia"/>
                <w:color w:val="000000"/>
                <w:szCs w:val="21"/>
                <w:lang w:val="en-US" w:eastAsia="zh-C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1800"/>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管理评审输入</w:t>
                  </w:r>
                  <w:r>
                    <w:rPr>
                      <w:rFonts w:hint="eastAsia"/>
                      <w:color w:val="auto"/>
                      <w:szCs w:val="21"/>
                      <w:highlight w:val="none"/>
                      <w:lang w:val="en-US" w:eastAsia="zh-CN"/>
                    </w:rPr>
                    <w:t>信息</w:t>
                  </w:r>
                </w:p>
              </w:tc>
              <w:tc>
                <w:tcPr>
                  <w:tcW w:w="1800"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评价</w:t>
                  </w:r>
                </w:p>
              </w:tc>
              <w:tc>
                <w:tcPr>
                  <w:tcW w:w="2999"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以往管理评审所采取措施的情况；</w:t>
                  </w:r>
                </w:p>
              </w:tc>
              <w:tc>
                <w:tcPr>
                  <w:tcW w:w="1800" w:type="dxa"/>
                  <w:vAlign w:val="top"/>
                </w:tcPr>
                <w:p>
                  <w:pPr>
                    <w:widowControl/>
                    <w:spacing w:before="40"/>
                    <w:jc w:val="left"/>
                    <w:rPr>
                      <w:rFonts w:hint="eastAsia" w:eastAsia="宋体"/>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default"/>
                      <w:color w:val="auto"/>
                      <w:szCs w:val="21"/>
                      <w:highlight w:val="none"/>
                      <w:vertAlign w:val="baseline"/>
                      <w:lang w:val="en-US" w:eastAsia="zh-CN"/>
                    </w:rPr>
                    <w:t>增加宣传标语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180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eastAsia="宋体"/>
                      <w:color w:val="auto"/>
                      <w:szCs w:val="21"/>
                      <w:highlight w:val="none"/>
                      <w:vertAlign w:val="baseline"/>
                      <w:lang w:val="en-US" w:eastAsia="zh-CN"/>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主管部门</w:t>
                  </w:r>
                  <w:r>
                    <w:rPr>
                      <w:rFonts w:hint="default"/>
                      <w:color w:val="auto"/>
                      <w:szCs w:val="21"/>
                      <w:highlight w:val="none"/>
                      <w:vertAlign w:val="baseline"/>
                      <w:lang w:val="en-US" w:eastAsia="zh-CN"/>
                    </w:rPr>
                    <w:t>日趋严峻的</w:t>
                  </w:r>
                  <w:r>
                    <w:rPr>
                      <w:rFonts w:hint="eastAsia"/>
                      <w:color w:val="auto"/>
                      <w:szCs w:val="21"/>
                      <w:highlight w:val="none"/>
                      <w:vertAlign w:val="baseline"/>
                      <w:lang w:val="en-US" w:eastAsia="zh-CN"/>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法律法规和其他要求</w:t>
                  </w:r>
                  <w:r>
                    <w:rPr>
                      <w:rFonts w:hint="eastAsia"/>
                      <w:color w:val="auto"/>
                      <w:highlight w:val="none"/>
                      <w:lang w:eastAsia="zh-CN"/>
                    </w:rPr>
                    <w:t>的变化</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部分新增法规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eastAsia" w:eastAsia="宋体"/>
                      <w:color w:val="auto"/>
                      <w:szCs w:val="21"/>
                      <w:highlight w:val="none"/>
                      <w:vertAlign w:val="baseline"/>
                      <w:lang w:val="en-US" w:eastAsia="zh-CN"/>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总职业健康安全目标已完成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事件、不符合、纠正措施和持续改进</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2020年无处罚、内审无不符合项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监视和测量结果</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2020年体检，消防监测达标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eastAsia" w:eastAsia="宋体"/>
                      <w:color w:val="auto"/>
                      <w:highlight w:val="none"/>
                      <w:lang w:eastAsia="zh-CN"/>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2020年无处罚、法律法规评价无违规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参与安全检查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eastAsia="宋体"/>
                      <w:color w:val="auto"/>
                      <w:highlight w:val="none"/>
                      <w:lang w:val="en-US" w:eastAsia="zh-CN"/>
                    </w:rPr>
                  </w:pPr>
                  <w:r>
                    <w:rPr>
                      <w:rFonts w:hint="eastAsia"/>
                      <w:color w:val="auto"/>
                      <w:highlight w:val="none"/>
                      <w:lang w:val="en-US" w:eastAsia="zh-CN"/>
                    </w:rPr>
                    <w:t>风险和机遇即趋势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提升员工安全风险意识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可以满足要求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与相关方的有关沟通</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2020年无职业健康安全投诉，无可记录事故，无工伤职业病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无</w:t>
                  </w:r>
                </w:p>
              </w:tc>
            </w:tr>
          </w:tbl>
          <w:p>
            <w:pPr>
              <w:widowControl/>
              <w:spacing w:before="40"/>
              <w:jc w:val="left"/>
              <w:rPr>
                <w:rFonts w:hint="default"/>
                <w:color w:val="000000"/>
                <w:szCs w:val="21"/>
                <w:lang w:val="en-US" w:eastAsia="zh-CN"/>
              </w:rPr>
            </w:pPr>
          </w:p>
          <w:p>
            <w:pPr>
              <w:widowControl/>
              <w:spacing w:before="40"/>
              <w:jc w:val="left"/>
              <w:rPr>
                <w:rFonts w:hint="default"/>
                <w:color w:val="000000"/>
                <w:szCs w:val="21"/>
                <w:highlight w:val="cyan"/>
                <w:u w:val="single"/>
                <w:lang w:val="en-US" w:eastAsia="zh-CN"/>
              </w:rPr>
            </w:pPr>
            <w:r>
              <w:rPr>
                <w:rFonts w:hint="eastAsia"/>
                <w:color w:val="000000"/>
                <w:szCs w:val="21"/>
                <w:highlight w:val="none"/>
                <w:vertAlign w:val="baseline"/>
                <w:lang w:val="en-US" w:eastAsia="zh-CN"/>
              </w:rPr>
              <w:t>对</w:t>
            </w:r>
            <w:r>
              <w:rPr>
                <w:rFonts w:hint="eastAsia"/>
              </w:rPr>
              <w:t>职业健康安全</w:t>
            </w:r>
            <w:r>
              <w:rPr>
                <w:rFonts w:hint="eastAsia"/>
                <w:color w:val="000000"/>
                <w:szCs w:val="21"/>
                <w:highlight w:val="none"/>
                <w:vertAlign w:val="baseline"/>
                <w:lang w:val="en-US" w:eastAsia="zh-CN"/>
              </w:rPr>
              <w:t>管理体系的持续适宜性，充分性，有效性的结论。</w:t>
            </w:r>
            <w:r>
              <w:rPr>
                <w:rFonts w:hint="eastAsia"/>
                <w:color w:val="000000"/>
                <w:szCs w:val="21"/>
                <w:lang w:eastAsia="zh-CN"/>
              </w:rPr>
              <w:t>☑</w:t>
            </w:r>
            <w:r>
              <w:rPr>
                <w:rFonts w:hint="eastAsia"/>
                <w:highlight w:val="none"/>
                <w:lang w:val="en-US" w:eastAsia="zh-CN"/>
              </w:rPr>
              <w:t>满足</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不满足，说明</w:t>
            </w:r>
            <w:r>
              <w:rPr>
                <w:rFonts w:hint="eastAsia"/>
                <w:highlight w:val="none"/>
                <w:u w:val="single"/>
                <w:lang w:val="en-US" w:eastAsia="zh-CN"/>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eastAsia="宋体"/>
                      <w:color w:val="auto"/>
                      <w:szCs w:val="21"/>
                      <w:highlight w:val="none"/>
                      <w:vertAlign w:val="baseline"/>
                      <w:lang w:val="en-US" w:eastAsia="zh-CN"/>
                    </w:rPr>
                  </w:pPr>
                  <w:r>
                    <w:rPr>
                      <w:rFonts w:hint="eastAsia"/>
                      <w:color w:val="auto"/>
                      <w:szCs w:val="18"/>
                      <w:highlight w:val="none"/>
                    </w:rPr>
                    <w:t>管理评审输出</w:t>
                  </w:r>
                  <w:r>
                    <w:rPr>
                      <w:rFonts w:hint="eastAsia"/>
                      <w:color w:val="auto"/>
                      <w:szCs w:val="18"/>
                      <w:highlight w:val="none"/>
                      <w:lang w:val="en-US" w:eastAsia="zh-CN"/>
                    </w:rPr>
                    <w:t>信息（决策）</w:t>
                  </w:r>
                </w:p>
              </w:tc>
              <w:tc>
                <w:tcPr>
                  <w:tcW w:w="3695"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措施描述（举例）</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eastAsia="宋体"/>
                      <w:color w:val="auto"/>
                      <w:szCs w:val="21"/>
                      <w:highlight w:val="none"/>
                      <w:vertAlign w:val="baseline"/>
                      <w:lang w:val="en-US" w:eastAsia="zh-CN"/>
                    </w:rPr>
                  </w:pPr>
                  <w:r>
                    <w:rPr>
                      <w:rFonts w:hint="eastAsia"/>
                      <w:color w:val="auto"/>
                      <w:highlight w:val="none"/>
                      <w:lang w:eastAsia="zh-CN"/>
                    </w:rPr>
                    <w:t>与持续改进机会相关的决策</w:t>
                  </w:r>
                </w:p>
              </w:tc>
              <w:tc>
                <w:tcPr>
                  <w:tcW w:w="3695" w:type="dxa"/>
                </w:tcPr>
                <w:p>
                  <w:pPr>
                    <w:widowControl/>
                    <w:spacing w:before="40"/>
                    <w:jc w:val="left"/>
                    <w:rPr>
                      <w:rFonts w:hint="default" w:eastAsia="宋体"/>
                      <w:color w:val="auto"/>
                      <w:szCs w:val="21"/>
                      <w:highlight w:val="none"/>
                      <w:vertAlign w:val="baseline"/>
                      <w:lang w:val="en-US" w:eastAsia="zh-CN"/>
                    </w:rPr>
                  </w:pPr>
                  <w:r>
                    <w:rPr>
                      <w:rFonts w:hint="eastAsia"/>
                      <w:color w:val="auto"/>
                      <w:szCs w:val="21"/>
                      <w:highlight w:val="none"/>
                      <w:vertAlign w:val="baseline"/>
                      <w:lang w:val="en-US" w:eastAsia="zh-CN"/>
                    </w:rPr>
                    <w:t>提升员工安全生产意识</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3695" w:type="dxa"/>
                </w:tcPr>
                <w:p>
                  <w:pPr>
                    <w:widowControl/>
                    <w:spacing w:before="40"/>
                    <w:jc w:val="left"/>
                    <w:rPr>
                      <w:rFonts w:hint="eastAsia" w:eastAsia="宋体"/>
                      <w:color w:val="auto"/>
                      <w:szCs w:val="21"/>
                      <w:highlight w:val="none"/>
                      <w:vertAlign w:val="baseline"/>
                      <w:lang w:val="en-US" w:eastAsia="zh-CN"/>
                    </w:rPr>
                  </w:pPr>
                  <w:r>
                    <w:rPr>
                      <w:rFonts w:hint="eastAsia"/>
                      <w:color w:val="auto"/>
                      <w:szCs w:val="21"/>
                      <w:highlight w:val="none"/>
                      <w:vertAlign w:val="baseline"/>
                      <w:lang w:val="en-US" w:eastAsia="zh-CN"/>
                    </w:rPr>
                    <w:t>完善应急预案</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3695"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资金</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default" w:eastAsia="宋体"/>
                      <w:color w:val="auto"/>
                      <w:szCs w:val="21"/>
                      <w:highlight w:val="none"/>
                      <w:vertAlign w:val="baseline"/>
                      <w:lang w:val="en-US" w:eastAsia="zh-CN"/>
                    </w:rPr>
                  </w:pPr>
                  <w:r>
                    <w:rPr>
                      <w:rFonts w:hint="eastAsia"/>
                      <w:color w:val="auto"/>
                      <w:szCs w:val="21"/>
                      <w:highlight w:val="none"/>
                      <w:vertAlign w:val="baseline"/>
                      <w:lang w:val="en-US" w:eastAsia="zh-CN"/>
                    </w:rPr>
                    <w:t>目标未实现所采取的措施。（需要时）</w:t>
                  </w:r>
                </w:p>
              </w:tc>
              <w:tc>
                <w:tcPr>
                  <w:tcW w:w="369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color w:val="auto"/>
                      <w:szCs w:val="21"/>
                      <w:highlight w:val="none"/>
                      <w:vertAlign w:val="baseline"/>
                      <w:lang w:val="en-US" w:eastAsia="zh-CN"/>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369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GB/T45001换版过程中加强一体化审核</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color w:val="auto"/>
                      <w:szCs w:val="21"/>
                      <w:highlight w:val="none"/>
                      <w:vertAlign w:val="baseline"/>
                      <w:lang w:val="en-US" w:eastAsia="zh-CN"/>
                    </w:rPr>
                  </w:pPr>
                  <w:r>
                    <w:rPr>
                      <w:rFonts w:hint="eastAsia"/>
                      <w:color w:val="auto"/>
                      <w:szCs w:val="21"/>
                      <w:highlight w:val="none"/>
                      <w:vertAlign w:val="baseline"/>
                      <w:lang w:val="en-US" w:eastAsia="zh-CN"/>
                    </w:rPr>
                    <w:t>任何与组织战略方向相关的结论</w:t>
                  </w:r>
                </w:p>
              </w:tc>
              <w:tc>
                <w:tcPr>
                  <w:tcW w:w="369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职业健康安全管理有效</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bl>
          <w:p>
            <w:pPr>
              <w:rPr>
                <w:rFonts w:hint="eastAsia"/>
                <w:highlight w:val="cyan"/>
              </w:rPr>
            </w:pPr>
          </w:p>
          <w:p>
            <w:pPr>
              <w:rPr>
                <w:rFonts w:hint="default"/>
                <w:highlight w:val="none"/>
                <w:u w:val="single"/>
                <w:lang w:val="en-US" w:eastAsia="zh-CN"/>
              </w:rPr>
            </w:pPr>
            <w:r>
              <w:rPr>
                <w:rFonts w:hint="eastAsia"/>
                <w:highlight w:val="none"/>
                <w:lang w:val="en-US" w:eastAsia="zh-CN"/>
              </w:rPr>
              <w:sym w:font="Wingdings" w:char="00A8"/>
            </w:r>
            <w:r>
              <w:rPr>
                <w:rFonts w:hint="eastAsia"/>
                <w:highlight w:val="none"/>
                <w:lang w:val="en-US" w:eastAsia="zh-CN"/>
              </w:rPr>
              <w:t>改进措施未落实的原因：</w:t>
            </w:r>
            <w:r>
              <w:rPr>
                <w:rFonts w:hint="eastAsia"/>
                <w:highlight w:val="none"/>
                <w:u w:val="single"/>
                <w:lang w:val="en-US" w:eastAsia="zh-CN"/>
              </w:rPr>
              <w:t xml:space="preserve">                                         </w:t>
            </w:r>
          </w:p>
          <w:p>
            <w:pPr>
              <w:rPr>
                <w:rFonts w:hint="default"/>
                <w:highlight w:val="none"/>
                <w:lang w:val="en-US" w:eastAsia="zh-CN"/>
              </w:rPr>
            </w:pPr>
          </w:p>
        </w:tc>
        <w:tc>
          <w:tcPr>
            <w:tcW w:w="1585" w:type="dxa"/>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default" w:eastAsia="宋体"/>
                <w:lang w:val="en-US" w:eastAsia="zh-CN"/>
              </w:rPr>
            </w:pPr>
            <w:r>
              <w:rPr>
                <w:rFonts w:hint="eastAsia"/>
                <w:lang w:val="en-US" w:eastAsia="zh-CN"/>
              </w:rPr>
              <w:t>改进</w:t>
            </w:r>
          </w:p>
        </w:tc>
        <w:tc>
          <w:tcPr>
            <w:tcW w:w="960" w:type="dxa"/>
            <w:vMerge w:val="restart"/>
          </w:tcPr>
          <w:p>
            <w:pPr>
              <w:rPr>
                <w:rFonts w:hint="default" w:eastAsia="宋体"/>
                <w:lang w:val="en-US" w:eastAsia="zh-CN"/>
              </w:rPr>
            </w:pPr>
            <w:r>
              <w:rPr>
                <w:rFonts w:hint="eastAsia"/>
                <w:lang w:val="en-US" w:eastAsia="zh-CN"/>
              </w:rPr>
              <w:t>Q10.1</w:t>
            </w:r>
          </w:p>
        </w:tc>
        <w:tc>
          <w:tcPr>
            <w:tcW w:w="745" w:type="dxa"/>
          </w:tcPr>
          <w:p>
            <w:pPr>
              <w:rPr>
                <w:rFonts w:hint="default" w:eastAsia="宋体"/>
                <w:lang w:val="en-US" w:eastAsia="zh-CN"/>
              </w:rPr>
            </w:pPr>
            <w:r>
              <w:rPr>
                <w:rFonts w:hint="eastAsia"/>
                <w:lang w:val="en-US" w:eastAsia="zh-CN"/>
              </w:rPr>
              <w:t>文件名称</w:t>
            </w:r>
          </w:p>
        </w:tc>
        <w:tc>
          <w:tcPr>
            <w:tcW w:w="9259" w:type="dxa"/>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rFonts w:hint="eastAsia"/>
              </w:rPr>
            </w:pPr>
          </w:p>
        </w:tc>
        <w:tc>
          <w:tcPr>
            <w:tcW w:w="960" w:type="dxa"/>
            <w:vMerge w:val="continue"/>
          </w:tcPr>
          <w:p>
            <w:pPr>
              <w:rPr>
                <w:rFonts w:hint="eastAsia"/>
                <w:lang w:val="en-US" w:eastAsia="zh-CN"/>
              </w:rPr>
            </w:pPr>
          </w:p>
        </w:tc>
        <w:tc>
          <w:tcPr>
            <w:tcW w:w="745" w:type="dxa"/>
          </w:tcPr>
          <w:p>
            <w:pPr>
              <w:rPr>
                <w:rFonts w:hint="default"/>
                <w:lang w:val="en-US" w:eastAsia="zh-CN"/>
              </w:rPr>
            </w:pPr>
            <w:r>
              <w:rPr>
                <w:rFonts w:hint="eastAsia"/>
                <w:lang w:val="en-US" w:eastAsia="zh-CN"/>
              </w:rPr>
              <w:t>运行证据</w:t>
            </w:r>
          </w:p>
        </w:tc>
        <w:tc>
          <w:tcPr>
            <w:tcW w:w="9259" w:type="dxa"/>
          </w:tcPr>
          <w:p>
            <w:pPr>
              <w:rPr>
                <w:rFonts w:hint="eastAsia"/>
                <w:highlight w:val="none"/>
                <w:lang w:val="en-US" w:eastAsia="zh-CN"/>
              </w:rPr>
            </w:pPr>
            <w:r>
              <w:rPr>
                <w:rFonts w:hint="eastAsia"/>
                <w:highlight w:val="none"/>
                <w:lang w:val="en-US" w:eastAsia="zh-CN"/>
              </w:rPr>
              <w:t xml:space="preserve">组织确定了改进机会，并采取必要措施，以实现其职业健康安全管理体系的预期结果。。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改进职业健康安全管理体系的绩效和有效性。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eastAsia" w:eastAsia="宋体"/>
                <w:lang w:val="en-US" w:eastAsia="zh-CN"/>
              </w:rPr>
            </w:pPr>
            <w:r>
              <w:rPr>
                <w:rFonts w:hint="eastAsia"/>
                <w:lang w:val="en-US" w:eastAsia="zh-CN"/>
              </w:rPr>
              <w:t>持续改进</w:t>
            </w:r>
          </w:p>
        </w:tc>
        <w:tc>
          <w:tcPr>
            <w:tcW w:w="960" w:type="dxa"/>
            <w:vMerge w:val="restart"/>
          </w:tcPr>
          <w:p>
            <w:pPr>
              <w:rPr>
                <w:rFonts w:hint="default" w:eastAsia="宋体"/>
                <w:lang w:val="en-US" w:eastAsia="zh-CN"/>
              </w:rPr>
            </w:pPr>
            <w:r>
              <w:rPr>
                <w:rFonts w:hint="eastAsia"/>
                <w:lang w:val="en-US" w:eastAsia="zh-CN"/>
              </w:rPr>
              <w:t>O10.3</w:t>
            </w:r>
          </w:p>
        </w:tc>
        <w:tc>
          <w:tcPr>
            <w:tcW w:w="745" w:type="dxa"/>
          </w:tcPr>
          <w:p>
            <w:pPr>
              <w:rPr>
                <w:rFonts w:hint="default" w:eastAsia="宋体"/>
                <w:lang w:val="en-US" w:eastAsia="zh-CN"/>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w:t>
            </w:r>
            <w:r>
              <w:rPr>
                <w:rFonts w:hint="eastAsia" w:ascii="Arial" w:hAnsi="Arial"/>
              </w:rPr>
              <w:t>事件、</w:t>
            </w:r>
            <w:r>
              <w:rPr>
                <w:rFonts w:hint="eastAsia"/>
                <w:lang w:val="en-US" w:eastAsia="zh-CN"/>
              </w:rPr>
              <w:t>不符合和纠正措施控制程序》</w:t>
            </w:r>
          </w:p>
        </w:tc>
        <w:tc>
          <w:tcPr>
            <w:tcW w:w="1585" w:type="dxa"/>
            <w:vMerge w:val="restart"/>
          </w:tcPr>
          <w:p>
            <w:r>
              <w:rPr/>
              <w:sym w:font="Wingdings" w:char="00FE"/>
            </w:r>
            <w:r>
              <w:rPr>
                <w:rFonts w:hint="eastAsia"/>
              </w:rPr>
              <w:t>符合</w:t>
            </w:r>
          </w:p>
          <w:p>
            <w:r>
              <w:rPr/>
              <w:sym w:font="Wingdings" w:char="00A8"/>
            </w:r>
            <w:r>
              <w:rPr>
                <w:rFonts w:hint="eastAsia"/>
              </w:rPr>
              <w:t>不符合</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rFonts w:hint="eastAsia"/>
              </w:rPr>
            </w:pPr>
          </w:p>
        </w:tc>
        <w:tc>
          <w:tcPr>
            <w:tcW w:w="960" w:type="dxa"/>
            <w:vMerge w:val="continue"/>
          </w:tcPr>
          <w:p>
            <w:pPr>
              <w:rPr>
                <w:rFonts w:hint="eastAsia"/>
                <w:lang w:val="en-US" w:eastAsia="zh-CN"/>
              </w:rPr>
            </w:pPr>
          </w:p>
        </w:tc>
        <w:tc>
          <w:tcPr>
            <w:tcW w:w="745" w:type="dxa"/>
          </w:tcPr>
          <w:p>
            <w:pPr>
              <w:rPr>
                <w:rFonts w:hint="default"/>
                <w:lang w:val="en-US" w:eastAsia="zh-CN"/>
              </w:rPr>
            </w:pPr>
            <w:r>
              <w:rPr>
                <w:rFonts w:hint="eastAsia"/>
                <w:lang w:val="en-US" w:eastAsia="zh-CN"/>
              </w:rPr>
              <w:t>运行证据</w:t>
            </w:r>
          </w:p>
        </w:tc>
        <w:tc>
          <w:tcPr>
            <w:tcW w:w="9259" w:type="dxa"/>
          </w:tcPr>
          <w:p>
            <w:pPr>
              <w:rPr>
                <w:rFonts w:hint="eastAsia"/>
                <w:highlight w:val="none"/>
              </w:rPr>
            </w:pPr>
            <w:r>
              <w:rPr>
                <w:rFonts w:hint="eastAsia"/>
                <w:highlight w:val="none"/>
              </w:rPr>
              <w:t>组织通过下列方式持续改进职业健康安全管理体系的适宜性、充分性与有效性：</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default" w:eastAsia="宋体"/>
                      <w:highlight w:val="none"/>
                      <w:vertAlign w:val="baseline"/>
                      <w:lang w:val="en-US" w:eastAsia="zh-CN"/>
                    </w:rPr>
                  </w:pPr>
                  <w:r>
                    <w:rPr>
                      <w:rFonts w:hint="eastAsia"/>
                      <w:highlight w:val="none"/>
                      <w:vertAlign w:val="baseline"/>
                      <w:lang w:val="en-US" w:eastAsia="zh-CN"/>
                    </w:rPr>
                    <w:t>改进方式</w:t>
                  </w:r>
                </w:p>
              </w:tc>
              <w:tc>
                <w:tcPr>
                  <w:tcW w:w="3305" w:type="dxa"/>
                </w:tcPr>
                <w:p>
                  <w:pPr>
                    <w:rPr>
                      <w:rFonts w:hint="default" w:eastAsia="宋体"/>
                      <w:highlight w:val="none"/>
                      <w:vertAlign w:val="baseline"/>
                      <w:lang w:val="en-US" w:eastAsia="zh-CN"/>
                    </w:rPr>
                  </w:pPr>
                  <w:r>
                    <w:rPr>
                      <w:rFonts w:hint="eastAsia"/>
                      <w:highlight w:val="none"/>
                      <w:vertAlign w:val="baseline"/>
                      <w:lang w:val="en-US" w:eastAsia="zh-CN"/>
                    </w:rPr>
                    <w:t>改进活动</w:t>
                  </w:r>
                </w:p>
              </w:tc>
              <w:tc>
                <w:tcPr>
                  <w:tcW w:w="1947" w:type="dxa"/>
                </w:tcPr>
                <w:p>
                  <w:pPr>
                    <w:rPr>
                      <w:rFonts w:hint="eastAsia" w:eastAsia="宋体"/>
                      <w:highlight w:val="none"/>
                      <w:vertAlign w:val="baseline"/>
                      <w:lang w:val="en-US" w:eastAsia="zh-CN"/>
                    </w:rPr>
                  </w:pPr>
                  <w:r>
                    <w:rPr>
                      <w:rFonts w:hint="eastAsia"/>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highlight w:val="none"/>
                      <w:vertAlign w:val="baseline"/>
                    </w:rPr>
                  </w:pPr>
                  <w:r>
                    <w:rPr>
                      <w:rFonts w:hint="eastAsia"/>
                      <w:highlight w:val="none"/>
                    </w:rPr>
                    <w:t>提升职业健康安全绩效</w:t>
                  </w:r>
                </w:p>
              </w:tc>
              <w:tc>
                <w:tcPr>
                  <w:tcW w:w="3305" w:type="dxa"/>
                </w:tcPr>
                <w:p>
                  <w:pPr>
                    <w:rPr>
                      <w:rFonts w:hint="default" w:eastAsia="宋体"/>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见管理评审改进措施</w:t>
                  </w:r>
                </w:p>
              </w:tc>
              <w:tc>
                <w:tcPr>
                  <w:tcW w:w="1947" w:type="dxa"/>
                </w:tcPr>
                <w:p>
                  <w:pPr>
                    <w:rPr>
                      <w:rFonts w:hint="default"/>
                      <w:highlight w:val="none"/>
                      <w:vertAlign w:val="baseline"/>
                      <w:lang w:val="en-US"/>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highlight w:val="none"/>
                      <w:vertAlign w:val="baseline"/>
                    </w:rPr>
                  </w:pPr>
                  <w:r>
                    <w:rPr>
                      <w:rFonts w:hint="eastAsia"/>
                      <w:highlight w:val="none"/>
                    </w:rPr>
                    <w:t>促进支持职业健康安全管理体系的文化</w:t>
                  </w:r>
                </w:p>
              </w:tc>
              <w:tc>
                <w:tcPr>
                  <w:tcW w:w="3305" w:type="dxa"/>
                </w:tcPr>
                <w:p>
                  <w:pPr>
                    <w:rPr>
                      <w:rFonts w:hint="default"/>
                      <w:highlight w:val="none"/>
                      <w:vertAlign w:val="baseline"/>
                      <w:lang w:val="en-US"/>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见OHS意识的培养</w:t>
                  </w:r>
                </w:p>
              </w:tc>
              <w:tc>
                <w:tcPr>
                  <w:tcW w:w="194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highlight w:val="none"/>
                      <w:vertAlign w:val="baseline"/>
                    </w:rPr>
                  </w:pPr>
                  <w:r>
                    <w:rPr>
                      <w:rFonts w:hint="eastAsia"/>
                      <w:highlight w:val="none"/>
                    </w:rPr>
                    <w:t>促进工作人员参与职业健康安全管理体系持续改进措施的实施</w:t>
                  </w:r>
                </w:p>
              </w:tc>
              <w:tc>
                <w:tcPr>
                  <w:tcW w:w="3305" w:type="dxa"/>
                </w:tcPr>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见协商和参与</w:t>
                  </w:r>
                </w:p>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见管理评审改进措施</w:t>
                  </w:r>
                </w:p>
                <w:p>
                  <w:pPr>
                    <w:rPr>
                      <w:rFonts w:hint="default"/>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highlight w:val="none"/>
                      <w:vertAlign w:val="baseline"/>
                    </w:rPr>
                  </w:pPr>
                  <w:r>
                    <w:rPr>
                      <w:rFonts w:hint="eastAsia"/>
                      <w:highlight w:val="none"/>
                    </w:rPr>
                    <w:t>就有关持续改进的结果与工作人员及其代表（若有）进行沟通</w:t>
                  </w:r>
                </w:p>
              </w:tc>
              <w:tc>
                <w:tcPr>
                  <w:tcW w:w="3305" w:type="dxa"/>
                </w:tcPr>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见协商和参与</w:t>
                  </w:r>
                </w:p>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见管理评审改进措施</w:t>
                  </w:r>
                </w:p>
                <w:p>
                  <w:pPr>
                    <w:rPr>
                      <w:rFonts w:hint="eastAsia"/>
                      <w:highlight w:val="none"/>
                      <w:vertAlign w:val="baseline"/>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bl>
          <w:p/>
          <w:p>
            <w:pPr>
              <w:rPr>
                <w:rFonts w:hint="default"/>
                <w:lang w:val="en-US" w:eastAsia="zh-CN"/>
              </w:rPr>
            </w:pPr>
            <w:r>
              <w:rPr>
                <w:rFonts w:hint="eastAsia"/>
                <w:highlight w:val="none"/>
                <w:lang w:val="en-US" w:eastAsia="zh-CN"/>
              </w:rPr>
              <w:sym w:font="Wingdings" w:char="00FE"/>
            </w:r>
            <w:r>
              <w:rPr>
                <w:rFonts w:hint="eastAsia"/>
                <w:highlight w:val="none"/>
                <w:lang w:val="en-US" w:eastAsia="zh-CN"/>
              </w:rPr>
              <w:t xml:space="preserve"> 管理评审改进措施已落实</w:t>
            </w:r>
          </w:p>
          <w:p>
            <w:pPr>
              <w:rPr>
                <w:rFonts w:hint="default"/>
                <w:highlight w:val="none"/>
                <w:u w:val="single"/>
                <w:lang w:val="en-US" w:eastAsia="zh-CN"/>
              </w:rPr>
            </w:pPr>
            <w:r>
              <w:rPr>
                <w:rFonts w:hint="eastAsia"/>
                <w:highlight w:val="none"/>
                <w:lang w:val="en-US" w:eastAsia="zh-CN"/>
              </w:rPr>
              <w:sym w:font="Wingdings" w:char="00A8"/>
            </w:r>
            <w:r>
              <w:rPr>
                <w:rFonts w:hint="eastAsia"/>
                <w:highlight w:val="none"/>
                <w:lang w:val="en-US" w:eastAsia="zh-CN"/>
              </w:rPr>
              <w:t xml:space="preserve"> 管理评审改进措施未落实的原因：</w:t>
            </w:r>
            <w:r>
              <w:rPr>
                <w:rFonts w:hint="eastAsia"/>
                <w:highlight w:val="none"/>
                <w:u w:val="single"/>
                <w:lang w:val="en-US" w:eastAsia="zh-CN"/>
              </w:rPr>
              <w:t xml:space="preserve">                              </w:t>
            </w:r>
          </w:p>
          <w:p>
            <w:pPr>
              <w:rPr>
                <w:rFonts w:hint="default"/>
                <w:lang w:val="en-US" w:eastAsia="zh-CN"/>
              </w:rPr>
            </w:pPr>
          </w:p>
        </w:tc>
        <w:tc>
          <w:tcPr>
            <w:tcW w:w="1585" w:type="dxa"/>
            <w:vMerge w:val="continue"/>
          </w:tcP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Comic Sans MS">
    <w:panose1 w:val="030F0702030302020204"/>
    <w:charset w:val="00"/>
    <w:family w:val="script"/>
    <w:pitch w:val="default"/>
    <w:sig w:usb0="00000287" w:usb1="00000013" w:usb2="00000000" w:usb3="00000000" w:csb0="2000009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Qaq5dYAAAAKAQAADwAAAAAAAAABACAAAAAiAAAAZHJzL2Rvd25yZXYueG1sUEsBAhQAFAAAAAgA&#10;h07iQBarjTC1AQAAQAMAAA4AAAAAAAAAAQAgAAAAJQEAAGRycy9lMm9Eb2MueG1sUEsFBgAAAAAG&#10;AAYAWQEAAEw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9"/>
      <w:suff w:val="nothing"/>
      <w:lvlText w:val="%1%2.%3　"/>
      <w:lvlJc w:val="left"/>
      <w:pPr>
        <w:ind w:left="735" w:firstLine="0"/>
      </w:pPr>
      <w:rPr>
        <w:rFonts w:hint="eastAsia" w:ascii="黑体" w:hAnsi="Times New Roman" w:eastAsia="黑体"/>
        <w:b w:val="0"/>
        <w:i w:val="0"/>
        <w:sz w:val="21"/>
      </w:rPr>
    </w:lvl>
    <w:lvl w:ilvl="3" w:tentative="0">
      <w:start w:val="1"/>
      <w:numFmt w:val="decimal"/>
      <w:pStyle w:val="18"/>
      <w:suff w:val="nothing"/>
      <w:lvlText w:val="%1%2.%3.%4　"/>
      <w:lvlJc w:val="left"/>
      <w:pPr>
        <w:ind w:left="1050" w:firstLine="0"/>
      </w:pPr>
      <w:rPr>
        <w:rFonts w:hint="eastAsia" w:ascii="黑体" w:hAnsi="Times New Roman" w:eastAsia="黑体"/>
        <w:b w:val="0"/>
        <w:i w:val="0"/>
        <w:sz w:val="21"/>
      </w:rPr>
    </w:lvl>
    <w:lvl w:ilvl="4" w:tentative="0">
      <w:start w:val="1"/>
      <w:numFmt w:val="decimal"/>
      <w:pStyle w:val="17"/>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83D5C"/>
    <w:rsid w:val="001A2D7F"/>
    <w:rsid w:val="002939AD"/>
    <w:rsid w:val="00314AF6"/>
    <w:rsid w:val="00337922"/>
    <w:rsid w:val="00340867"/>
    <w:rsid w:val="00380837"/>
    <w:rsid w:val="003A198A"/>
    <w:rsid w:val="00410914"/>
    <w:rsid w:val="004177C7"/>
    <w:rsid w:val="0048201E"/>
    <w:rsid w:val="00536930"/>
    <w:rsid w:val="00564E53"/>
    <w:rsid w:val="005D5659"/>
    <w:rsid w:val="00600C20"/>
    <w:rsid w:val="00644FE2"/>
    <w:rsid w:val="0067640C"/>
    <w:rsid w:val="006E678B"/>
    <w:rsid w:val="006E7B1D"/>
    <w:rsid w:val="007757F3"/>
    <w:rsid w:val="007C1B48"/>
    <w:rsid w:val="007E3B15"/>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260C71"/>
    <w:rsid w:val="0148246F"/>
    <w:rsid w:val="01E27364"/>
    <w:rsid w:val="02113B23"/>
    <w:rsid w:val="021E04B6"/>
    <w:rsid w:val="02203F02"/>
    <w:rsid w:val="0228580F"/>
    <w:rsid w:val="026A697D"/>
    <w:rsid w:val="028120F9"/>
    <w:rsid w:val="02C75A20"/>
    <w:rsid w:val="03085664"/>
    <w:rsid w:val="0326784C"/>
    <w:rsid w:val="032F5195"/>
    <w:rsid w:val="03373FF4"/>
    <w:rsid w:val="03504EFA"/>
    <w:rsid w:val="035D4F91"/>
    <w:rsid w:val="036737B4"/>
    <w:rsid w:val="03A0688A"/>
    <w:rsid w:val="03A32F8E"/>
    <w:rsid w:val="03AC3D8E"/>
    <w:rsid w:val="03CE483E"/>
    <w:rsid w:val="03CF54E8"/>
    <w:rsid w:val="0405614C"/>
    <w:rsid w:val="040A269A"/>
    <w:rsid w:val="042332AF"/>
    <w:rsid w:val="044125D6"/>
    <w:rsid w:val="047A6FAA"/>
    <w:rsid w:val="04883DB3"/>
    <w:rsid w:val="04981EC9"/>
    <w:rsid w:val="04C420B7"/>
    <w:rsid w:val="050D3D1E"/>
    <w:rsid w:val="05422E8D"/>
    <w:rsid w:val="05505823"/>
    <w:rsid w:val="056577F0"/>
    <w:rsid w:val="056A75E8"/>
    <w:rsid w:val="05705C5F"/>
    <w:rsid w:val="059C20C3"/>
    <w:rsid w:val="05A05014"/>
    <w:rsid w:val="05F6270F"/>
    <w:rsid w:val="0605101B"/>
    <w:rsid w:val="06120F24"/>
    <w:rsid w:val="0618393F"/>
    <w:rsid w:val="061B4460"/>
    <w:rsid w:val="067B702D"/>
    <w:rsid w:val="06994A8D"/>
    <w:rsid w:val="06AA7E97"/>
    <w:rsid w:val="06ED612A"/>
    <w:rsid w:val="06F516FA"/>
    <w:rsid w:val="06FA3125"/>
    <w:rsid w:val="0700448C"/>
    <w:rsid w:val="078B332B"/>
    <w:rsid w:val="07C13D29"/>
    <w:rsid w:val="07ED0401"/>
    <w:rsid w:val="081B6228"/>
    <w:rsid w:val="081F3AAC"/>
    <w:rsid w:val="08767210"/>
    <w:rsid w:val="0884117F"/>
    <w:rsid w:val="08851DD7"/>
    <w:rsid w:val="08957BCC"/>
    <w:rsid w:val="08A65A0B"/>
    <w:rsid w:val="08C22483"/>
    <w:rsid w:val="08ED1EE8"/>
    <w:rsid w:val="09005957"/>
    <w:rsid w:val="091B425F"/>
    <w:rsid w:val="09401E21"/>
    <w:rsid w:val="096333C5"/>
    <w:rsid w:val="09933EF9"/>
    <w:rsid w:val="09AA0CA5"/>
    <w:rsid w:val="09DC02FD"/>
    <w:rsid w:val="09FA6045"/>
    <w:rsid w:val="0A0F142E"/>
    <w:rsid w:val="0A1C56C1"/>
    <w:rsid w:val="0A793506"/>
    <w:rsid w:val="0A8371C4"/>
    <w:rsid w:val="0A904067"/>
    <w:rsid w:val="0ABC216E"/>
    <w:rsid w:val="0AC7305D"/>
    <w:rsid w:val="0ACA6ED2"/>
    <w:rsid w:val="0AEF4D8D"/>
    <w:rsid w:val="0B0C5CAD"/>
    <w:rsid w:val="0B10795D"/>
    <w:rsid w:val="0B3A4AAA"/>
    <w:rsid w:val="0B736E2A"/>
    <w:rsid w:val="0BE64DFF"/>
    <w:rsid w:val="0BF862B1"/>
    <w:rsid w:val="0C466D6D"/>
    <w:rsid w:val="0C5423F7"/>
    <w:rsid w:val="0C8009B8"/>
    <w:rsid w:val="0C842FD4"/>
    <w:rsid w:val="0CC102DA"/>
    <w:rsid w:val="0CC85F41"/>
    <w:rsid w:val="0CD5463E"/>
    <w:rsid w:val="0CEB516B"/>
    <w:rsid w:val="0D021D9E"/>
    <w:rsid w:val="0D181113"/>
    <w:rsid w:val="0D1E4D9B"/>
    <w:rsid w:val="0D4D1326"/>
    <w:rsid w:val="0D682672"/>
    <w:rsid w:val="0D6A2C36"/>
    <w:rsid w:val="0D780A9A"/>
    <w:rsid w:val="0D7B34FF"/>
    <w:rsid w:val="0D8452A5"/>
    <w:rsid w:val="0DB35CC0"/>
    <w:rsid w:val="0DD9585D"/>
    <w:rsid w:val="0E49595F"/>
    <w:rsid w:val="0E4C35DF"/>
    <w:rsid w:val="0E5927F2"/>
    <w:rsid w:val="0EA43140"/>
    <w:rsid w:val="0EA50415"/>
    <w:rsid w:val="0EB8524B"/>
    <w:rsid w:val="0EB8667B"/>
    <w:rsid w:val="0ECE0C57"/>
    <w:rsid w:val="0F2316C5"/>
    <w:rsid w:val="0F86648B"/>
    <w:rsid w:val="0FBB3782"/>
    <w:rsid w:val="0FDE4D72"/>
    <w:rsid w:val="0FFA42BF"/>
    <w:rsid w:val="100911EE"/>
    <w:rsid w:val="100B6D7F"/>
    <w:rsid w:val="100D075A"/>
    <w:rsid w:val="106A3497"/>
    <w:rsid w:val="108219C2"/>
    <w:rsid w:val="10991918"/>
    <w:rsid w:val="10A120FB"/>
    <w:rsid w:val="10AB5B5F"/>
    <w:rsid w:val="10B56B71"/>
    <w:rsid w:val="10C112A0"/>
    <w:rsid w:val="10C11C69"/>
    <w:rsid w:val="10C25B35"/>
    <w:rsid w:val="10C54500"/>
    <w:rsid w:val="10D61701"/>
    <w:rsid w:val="10DD2E35"/>
    <w:rsid w:val="110345D0"/>
    <w:rsid w:val="113330AF"/>
    <w:rsid w:val="113F6014"/>
    <w:rsid w:val="11536201"/>
    <w:rsid w:val="115D3DB9"/>
    <w:rsid w:val="117904D1"/>
    <w:rsid w:val="11BD2BE2"/>
    <w:rsid w:val="11BE2038"/>
    <w:rsid w:val="11C40475"/>
    <w:rsid w:val="11CD73E1"/>
    <w:rsid w:val="11DC0AC4"/>
    <w:rsid w:val="11E2439D"/>
    <w:rsid w:val="12563B2D"/>
    <w:rsid w:val="12A2571D"/>
    <w:rsid w:val="12A42EA7"/>
    <w:rsid w:val="12A506D3"/>
    <w:rsid w:val="12E47960"/>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5DD042A"/>
    <w:rsid w:val="15E02CEB"/>
    <w:rsid w:val="160D3D01"/>
    <w:rsid w:val="16210B83"/>
    <w:rsid w:val="16583F2B"/>
    <w:rsid w:val="165E2DB5"/>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0758B8"/>
    <w:rsid w:val="193C2BA0"/>
    <w:rsid w:val="19444428"/>
    <w:rsid w:val="19553BF7"/>
    <w:rsid w:val="197008AF"/>
    <w:rsid w:val="19746F33"/>
    <w:rsid w:val="197E61C1"/>
    <w:rsid w:val="19811130"/>
    <w:rsid w:val="198F29B9"/>
    <w:rsid w:val="19D74BC7"/>
    <w:rsid w:val="19DE4928"/>
    <w:rsid w:val="19FD49DB"/>
    <w:rsid w:val="1A041A8F"/>
    <w:rsid w:val="1A0822F2"/>
    <w:rsid w:val="1A546A4C"/>
    <w:rsid w:val="1A6C3FF9"/>
    <w:rsid w:val="1A996190"/>
    <w:rsid w:val="1AAF33A8"/>
    <w:rsid w:val="1AB42370"/>
    <w:rsid w:val="1ACF1254"/>
    <w:rsid w:val="1AED5B63"/>
    <w:rsid w:val="1B281F5C"/>
    <w:rsid w:val="1B462375"/>
    <w:rsid w:val="1B5E3B97"/>
    <w:rsid w:val="1B6B0728"/>
    <w:rsid w:val="1BBF5C04"/>
    <w:rsid w:val="1C392A3A"/>
    <w:rsid w:val="1C683E38"/>
    <w:rsid w:val="1CB1322F"/>
    <w:rsid w:val="1CB51621"/>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AD0360"/>
    <w:rsid w:val="1ED92646"/>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0F232A3"/>
    <w:rsid w:val="21A07B88"/>
    <w:rsid w:val="21A34258"/>
    <w:rsid w:val="21C87DD9"/>
    <w:rsid w:val="21D24208"/>
    <w:rsid w:val="226B2F60"/>
    <w:rsid w:val="227B5AC7"/>
    <w:rsid w:val="22813299"/>
    <w:rsid w:val="229F2D1A"/>
    <w:rsid w:val="23363714"/>
    <w:rsid w:val="23461CA8"/>
    <w:rsid w:val="238A1BAA"/>
    <w:rsid w:val="23900E62"/>
    <w:rsid w:val="239C1861"/>
    <w:rsid w:val="23BF3886"/>
    <w:rsid w:val="241A6B34"/>
    <w:rsid w:val="24285E2F"/>
    <w:rsid w:val="242A7B69"/>
    <w:rsid w:val="24553A74"/>
    <w:rsid w:val="246A25EE"/>
    <w:rsid w:val="247622DE"/>
    <w:rsid w:val="2480482A"/>
    <w:rsid w:val="2483299C"/>
    <w:rsid w:val="24950DD7"/>
    <w:rsid w:val="24A05D8E"/>
    <w:rsid w:val="24FC7C66"/>
    <w:rsid w:val="24FF596D"/>
    <w:rsid w:val="2519537A"/>
    <w:rsid w:val="252E4B6C"/>
    <w:rsid w:val="25391377"/>
    <w:rsid w:val="258041F6"/>
    <w:rsid w:val="258609CC"/>
    <w:rsid w:val="25B809C4"/>
    <w:rsid w:val="261B55F8"/>
    <w:rsid w:val="261C0F72"/>
    <w:rsid w:val="261D5675"/>
    <w:rsid w:val="26325483"/>
    <w:rsid w:val="26410887"/>
    <w:rsid w:val="269C7CAD"/>
    <w:rsid w:val="27130F81"/>
    <w:rsid w:val="271B4DE1"/>
    <w:rsid w:val="272228DE"/>
    <w:rsid w:val="27331C5C"/>
    <w:rsid w:val="27443F4D"/>
    <w:rsid w:val="27471DBC"/>
    <w:rsid w:val="27487DA0"/>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3E1857"/>
    <w:rsid w:val="29513E8D"/>
    <w:rsid w:val="296D2D47"/>
    <w:rsid w:val="298C2767"/>
    <w:rsid w:val="29A77C84"/>
    <w:rsid w:val="29CB46C2"/>
    <w:rsid w:val="29DD1C13"/>
    <w:rsid w:val="29F77BA5"/>
    <w:rsid w:val="2A3A6E77"/>
    <w:rsid w:val="2A570814"/>
    <w:rsid w:val="2A85024C"/>
    <w:rsid w:val="2AC8327F"/>
    <w:rsid w:val="2AD3142C"/>
    <w:rsid w:val="2B0D2F04"/>
    <w:rsid w:val="2B1D2572"/>
    <w:rsid w:val="2B206A2D"/>
    <w:rsid w:val="2B4C1179"/>
    <w:rsid w:val="2B5D0EFC"/>
    <w:rsid w:val="2B6C36BA"/>
    <w:rsid w:val="2B7B0583"/>
    <w:rsid w:val="2BA00560"/>
    <w:rsid w:val="2BD60481"/>
    <w:rsid w:val="2BEA3FA7"/>
    <w:rsid w:val="2C2E44D4"/>
    <w:rsid w:val="2C7B6C71"/>
    <w:rsid w:val="2CE67CB5"/>
    <w:rsid w:val="2CFF5FB6"/>
    <w:rsid w:val="2D095658"/>
    <w:rsid w:val="2D357F0D"/>
    <w:rsid w:val="2D4E604F"/>
    <w:rsid w:val="2D5C2AB0"/>
    <w:rsid w:val="2D7A20E6"/>
    <w:rsid w:val="2D7B66E3"/>
    <w:rsid w:val="2D8B3A57"/>
    <w:rsid w:val="2D913577"/>
    <w:rsid w:val="2D930B77"/>
    <w:rsid w:val="2D9A3020"/>
    <w:rsid w:val="2DC57805"/>
    <w:rsid w:val="2DDF08DF"/>
    <w:rsid w:val="2DFF79D8"/>
    <w:rsid w:val="2E367C56"/>
    <w:rsid w:val="2E440885"/>
    <w:rsid w:val="2E4875EB"/>
    <w:rsid w:val="2EEE512C"/>
    <w:rsid w:val="2F7C571D"/>
    <w:rsid w:val="2F7C614A"/>
    <w:rsid w:val="2FA86B66"/>
    <w:rsid w:val="2FE823A5"/>
    <w:rsid w:val="2FEA1C57"/>
    <w:rsid w:val="300172B8"/>
    <w:rsid w:val="30284CE9"/>
    <w:rsid w:val="30945277"/>
    <w:rsid w:val="30C1548B"/>
    <w:rsid w:val="30C36ECA"/>
    <w:rsid w:val="30C71DD4"/>
    <w:rsid w:val="30DC7CB1"/>
    <w:rsid w:val="30ED30CC"/>
    <w:rsid w:val="31064141"/>
    <w:rsid w:val="3130128F"/>
    <w:rsid w:val="31675B01"/>
    <w:rsid w:val="31B477DB"/>
    <w:rsid w:val="31B67BE2"/>
    <w:rsid w:val="31CA71DD"/>
    <w:rsid w:val="32341738"/>
    <w:rsid w:val="324E5138"/>
    <w:rsid w:val="325E1B93"/>
    <w:rsid w:val="32D06D58"/>
    <w:rsid w:val="331E21CE"/>
    <w:rsid w:val="332B6F8B"/>
    <w:rsid w:val="3346443A"/>
    <w:rsid w:val="33562A0D"/>
    <w:rsid w:val="335C55FD"/>
    <w:rsid w:val="33715F28"/>
    <w:rsid w:val="33C65FCE"/>
    <w:rsid w:val="33F07155"/>
    <w:rsid w:val="340C6245"/>
    <w:rsid w:val="34113C74"/>
    <w:rsid w:val="343C4522"/>
    <w:rsid w:val="34763B6D"/>
    <w:rsid w:val="347A0336"/>
    <w:rsid w:val="348376B7"/>
    <w:rsid w:val="34F92D63"/>
    <w:rsid w:val="3537448C"/>
    <w:rsid w:val="3545030D"/>
    <w:rsid w:val="35527F1F"/>
    <w:rsid w:val="356E7CA4"/>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0E0B2A"/>
    <w:rsid w:val="3A160597"/>
    <w:rsid w:val="3A3E0D9F"/>
    <w:rsid w:val="3A5573DE"/>
    <w:rsid w:val="3A734128"/>
    <w:rsid w:val="3AAB1306"/>
    <w:rsid w:val="3ABB3480"/>
    <w:rsid w:val="3ABD0173"/>
    <w:rsid w:val="3AC172FF"/>
    <w:rsid w:val="3ACE23E2"/>
    <w:rsid w:val="3AEC3267"/>
    <w:rsid w:val="3B0D014A"/>
    <w:rsid w:val="3B227AA7"/>
    <w:rsid w:val="3B4241C0"/>
    <w:rsid w:val="3B5F0280"/>
    <w:rsid w:val="3BAB4C5D"/>
    <w:rsid w:val="3BEE1D6F"/>
    <w:rsid w:val="3BF1473C"/>
    <w:rsid w:val="3CA475E5"/>
    <w:rsid w:val="3CA717F2"/>
    <w:rsid w:val="3CC445CD"/>
    <w:rsid w:val="3CC56579"/>
    <w:rsid w:val="3CED4B6C"/>
    <w:rsid w:val="3D073283"/>
    <w:rsid w:val="3D24558C"/>
    <w:rsid w:val="3DAB460B"/>
    <w:rsid w:val="3DDA7DB2"/>
    <w:rsid w:val="3E342793"/>
    <w:rsid w:val="3E3C5235"/>
    <w:rsid w:val="3EA34B57"/>
    <w:rsid w:val="3ED12579"/>
    <w:rsid w:val="3EDD2B90"/>
    <w:rsid w:val="3EE3221D"/>
    <w:rsid w:val="3EEF1E6E"/>
    <w:rsid w:val="3F532B3A"/>
    <w:rsid w:val="3F654598"/>
    <w:rsid w:val="3F8E03C8"/>
    <w:rsid w:val="3FA434FD"/>
    <w:rsid w:val="3FB850F1"/>
    <w:rsid w:val="3FC72695"/>
    <w:rsid w:val="3FD70A70"/>
    <w:rsid w:val="3FF76BA4"/>
    <w:rsid w:val="403F19EE"/>
    <w:rsid w:val="404047B5"/>
    <w:rsid w:val="404F3BBA"/>
    <w:rsid w:val="40571F31"/>
    <w:rsid w:val="40760623"/>
    <w:rsid w:val="408B7234"/>
    <w:rsid w:val="409D6F53"/>
    <w:rsid w:val="40E27AF7"/>
    <w:rsid w:val="40F80D82"/>
    <w:rsid w:val="410B541D"/>
    <w:rsid w:val="41342A6B"/>
    <w:rsid w:val="414C7183"/>
    <w:rsid w:val="41523250"/>
    <w:rsid w:val="418D501C"/>
    <w:rsid w:val="41D557CA"/>
    <w:rsid w:val="41DF62BB"/>
    <w:rsid w:val="41E9167B"/>
    <w:rsid w:val="420F7024"/>
    <w:rsid w:val="423A05B2"/>
    <w:rsid w:val="42416B50"/>
    <w:rsid w:val="42541DDE"/>
    <w:rsid w:val="4262379E"/>
    <w:rsid w:val="427A1188"/>
    <w:rsid w:val="42BF734E"/>
    <w:rsid w:val="432A5E11"/>
    <w:rsid w:val="433B1167"/>
    <w:rsid w:val="4352128B"/>
    <w:rsid w:val="435F500F"/>
    <w:rsid w:val="43C730CD"/>
    <w:rsid w:val="441A729F"/>
    <w:rsid w:val="44350F69"/>
    <w:rsid w:val="44A567F5"/>
    <w:rsid w:val="45237F18"/>
    <w:rsid w:val="453B1EBC"/>
    <w:rsid w:val="45635AEC"/>
    <w:rsid w:val="45BA54FA"/>
    <w:rsid w:val="45C810D7"/>
    <w:rsid w:val="45EC74A5"/>
    <w:rsid w:val="45FA6B69"/>
    <w:rsid w:val="460414DD"/>
    <w:rsid w:val="46114E42"/>
    <w:rsid w:val="46332B60"/>
    <w:rsid w:val="4654705C"/>
    <w:rsid w:val="465F3CB6"/>
    <w:rsid w:val="468D2C1F"/>
    <w:rsid w:val="468D3CA5"/>
    <w:rsid w:val="46A51AB4"/>
    <w:rsid w:val="46EA7997"/>
    <w:rsid w:val="470243E7"/>
    <w:rsid w:val="471F1498"/>
    <w:rsid w:val="47271944"/>
    <w:rsid w:val="473E10CC"/>
    <w:rsid w:val="475C4BFE"/>
    <w:rsid w:val="475D7730"/>
    <w:rsid w:val="47BB044C"/>
    <w:rsid w:val="48194E74"/>
    <w:rsid w:val="48262DE5"/>
    <w:rsid w:val="48ED577E"/>
    <w:rsid w:val="494E6F4C"/>
    <w:rsid w:val="495D1E4B"/>
    <w:rsid w:val="49912790"/>
    <w:rsid w:val="499E2087"/>
    <w:rsid w:val="49C0281D"/>
    <w:rsid w:val="49E14879"/>
    <w:rsid w:val="49E3211A"/>
    <w:rsid w:val="49E449BF"/>
    <w:rsid w:val="49EC77B8"/>
    <w:rsid w:val="49ED5B1C"/>
    <w:rsid w:val="49F46C27"/>
    <w:rsid w:val="4A3057A3"/>
    <w:rsid w:val="4AD45EF1"/>
    <w:rsid w:val="4AE04A18"/>
    <w:rsid w:val="4B337454"/>
    <w:rsid w:val="4B407CC6"/>
    <w:rsid w:val="4B42232B"/>
    <w:rsid w:val="4B464D61"/>
    <w:rsid w:val="4B825A76"/>
    <w:rsid w:val="4B8B3702"/>
    <w:rsid w:val="4B9B0D7E"/>
    <w:rsid w:val="4BC83B65"/>
    <w:rsid w:val="4C075A47"/>
    <w:rsid w:val="4C0C3B65"/>
    <w:rsid w:val="4C204239"/>
    <w:rsid w:val="4C247C80"/>
    <w:rsid w:val="4CA74E41"/>
    <w:rsid w:val="4CA91B51"/>
    <w:rsid w:val="4CB62537"/>
    <w:rsid w:val="4CD2365B"/>
    <w:rsid w:val="4D2562F4"/>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EBB3EBF"/>
    <w:rsid w:val="4F594843"/>
    <w:rsid w:val="4F88590D"/>
    <w:rsid w:val="503C3BCC"/>
    <w:rsid w:val="507C26C1"/>
    <w:rsid w:val="50804466"/>
    <w:rsid w:val="50C41CF1"/>
    <w:rsid w:val="51217DA6"/>
    <w:rsid w:val="51294703"/>
    <w:rsid w:val="51425A27"/>
    <w:rsid w:val="5158757E"/>
    <w:rsid w:val="51642DA6"/>
    <w:rsid w:val="521A5D1E"/>
    <w:rsid w:val="523624DE"/>
    <w:rsid w:val="526B2302"/>
    <w:rsid w:val="52735F79"/>
    <w:rsid w:val="52A23F56"/>
    <w:rsid w:val="52BA5471"/>
    <w:rsid w:val="52CC19B1"/>
    <w:rsid w:val="52D871F4"/>
    <w:rsid w:val="52F263D6"/>
    <w:rsid w:val="52FB0DF2"/>
    <w:rsid w:val="53024EB7"/>
    <w:rsid w:val="531F2139"/>
    <w:rsid w:val="53261795"/>
    <w:rsid w:val="534F62F7"/>
    <w:rsid w:val="53660E02"/>
    <w:rsid w:val="536F60C1"/>
    <w:rsid w:val="53953BE7"/>
    <w:rsid w:val="53970F9D"/>
    <w:rsid w:val="53DB2F56"/>
    <w:rsid w:val="53F51637"/>
    <w:rsid w:val="54124FEF"/>
    <w:rsid w:val="541C4B67"/>
    <w:rsid w:val="54E7536E"/>
    <w:rsid w:val="550429BE"/>
    <w:rsid w:val="552A2893"/>
    <w:rsid w:val="55436287"/>
    <w:rsid w:val="556B045B"/>
    <w:rsid w:val="557D4E77"/>
    <w:rsid w:val="55C375DD"/>
    <w:rsid w:val="56026B10"/>
    <w:rsid w:val="56156439"/>
    <w:rsid w:val="56270CFC"/>
    <w:rsid w:val="563A02F6"/>
    <w:rsid w:val="56643532"/>
    <w:rsid w:val="568B5A7B"/>
    <w:rsid w:val="56C41BCC"/>
    <w:rsid w:val="570A6E63"/>
    <w:rsid w:val="573B0118"/>
    <w:rsid w:val="573D2268"/>
    <w:rsid w:val="57411925"/>
    <w:rsid w:val="57441E32"/>
    <w:rsid w:val="57535542"/>
    <w:rsid w:val="575B3098"/>
    <w:rsid w:val="57A14CB5"/>
    <w:rsid w:val="57F55B90"/>
    <w:rsid w:val="580F191D"/>
    <w:rsid w:val="58276F84"/>
    <w:rsid w:val="582C648F"/>
    <w:rsid w:val="58584813"/>
    <w:rsid w:val="58B728A2"/>
    <w:rsid w:val="58B868EB"/>
    <w:rsid w:val="58CD6892"/>
    <w:rsid w:val="58CE1CB7"/>
    <w:rsid w:val="58D46744"/>
    <w:rsid w:val="590D059A"/>
    <w:rsid w:val="59161F0B"/>
    <w:rsid w:val="592802C2"/>
    <w:rsid w:val="5953202C"/>
    <w:rsid w:val="5968271A"/>
    <w:rsid w:val="5978735A"/>
    <w:rsid w:val="59963397"/>
    <w:rsid w:val="59C225AF"/>
    <w:rsid w:val="59E42114"/>
    <w:rsid w:val="59E710C8"/>
    <w:rsid w:val="59EF09F5"/>
    <w:rsid w:val="5A0D1ED3"/>
    <w:rsid w:val="5A1C59A1"/>
    <w:rsid w:val="5A407674"/>
    <w:rsid w:val="5A432974"/>
    <w:rsid w:val="5A67161C"/>
    <w:rsid w:val="5A6A20C5"/>
    <w:rsid w:val="5A6C2417"/>
    <w:rsid w:val="5A8A4CE8"/>
    <w:rsid w:val="5AD64AF2"/>
    <w:rsid w:val="5AF377C8"/>
    <w:rsid w:val="5AF525A3"/>
    <w:rsid w:val="5AF97A41"/>
    <w:rsid w:val="5B0449BC"/>
    <w:rsid w:val="5B513157"/>
    <w:rsid w:val="5B517209"/>
    <w:rsid w:val="5B544EB3"/>
    <w:rsid w:val="5B6A33DD"/>
    <w:rsid w:val="5B7C5AEB"/>
    <w:rsid w:val="5BA75CC0"/>
    <w:rsid w:val="5BF04FFA"/>
    <w:rsid w:val="5C241AEE"/>
    <w:rsid w:val="5C4D2649"/>
    <w:rsid w:val="5C8D6CFF"/>
    <w:rsid w:val="5C966EB6"/>
    <w:rsid w:val="5C9808B2"/>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74258"/>
    <w:rsid w:val="5F291E1B"/>
    <w:rsid w:val="5F3162C0"/>
    <w:rsid w:val="5F551AC0"/>
    <w:rsid w:val="5F616E2A"/>
    <w:rsid w:val="5FCC65B3"/>
    <w:rsid w:val="5FE015B4"/>
    <w:rsid w:val="6018182B"/>
    <w:rsid w:val="601E0F43"/>
    <w:rsid w:val="60250281"/>
    <w:rsid w:val="603D0763"/>
    <w:rsid w:val="604E6EEE"/>
    <w:rsid w:val="60596F8D"/>
    <w:rsid w:val="608075E1"/>
    <w:rsid w:val="60E47C4C"/>
    <w:rsid w:val="61326FB1"/>
    <w:rsid w:val="61384C31"/>
    <w:rsid w:val="6151193F"/>
    <w:rsid w:val="61857CB5"/>
    <w:rsid w:val="61E77A7E"/>
    <w:rsid w:val="622A4138"/>
    <w:rsid w:val="62385483"/>
    <w:rsid w:val="62385A6C"/>
    <w:rsid w:val="625901DA"/>
    <w:rsid w:val="62876D77"/>
    <w:rsid w:val="62CA4AF4"/>
    <w:rsid w:val="62E4371E"/>
    <w:rsid w:val="62FD1DFD"/>
    <w:rsid w:val="63153C43"/>
    <w:rsid w:val="632045D1"/>
    <w:rsid w:val="632C13B4"/>
    <w:rsid w:val="6342544F"/>
    <w:rsid w:val="63720424"/>
    <w:rsid w:val="63A31ABC"/>
    <w:rsid w:val="63C65078"/>
    <w:rsid w:val="63EA156F"/>
    <w:rsid w:val="63EA6D88"/>
    <w:rsid w:val="64106CE7"/>
    <w:rsid w:val="64471AFC"/>
    <w:rsid w:val="64621F9C"/>
    <w:rsid w:val="64A41F12"/>
    <w:rsid w:val="64A537DD"/>
    <w:rsid w:val="64B51DAE"/>
    <w:rsid w:val="64B96E85"/>
    <w:rsid w:val="64BB6795"/>
    <w:rsid w:val="64D069A0"/>
    <w:rsid w:val="64F01E53"/>
    <w:rsid w:val="64F27E75"/>
    <w:rsid w:val="65067C78"/>
    <w:rsid w:val="65305A43"/>
    <w:rsid w:val="6542498D"/>
    <w:rsid w:val="655D358A"/>
    <w:rsid w:val="65600ACC"/>
    <w:rsid w:val="65662197"/>
    <w:rsid w:val="65704B24"/>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552E55"/>
    <w:rsid w:val="675A3B6C"/>
    <w:rsid w:val="678B4DA6"/>
    <w:rsid w:val="67AF7DB6"/>
    <w:rsid w:val="67ED5C78"/>
    <w:rsid w:val="680564C6"/>
    <w:rsid w:val="681B3F7A"/>
    <w:rsid w:val="68233428"/>
    <w:rsid w:val="68494570"/>
    <w:rsid w:val="68B54AF7"/>
    <w:rsid w:val="68BB527D"/>
    <w:rsid w:val="68C96D98"/>
    <w:rsid w:val="68CA009F"/>
    <w:rsid w:val="68D402C9"/>
    <w:rsid w:val="68D670D7"/>
    <w:rsid w:val="68E43EF4"/>
    <w:rsid w:val="695B5920"/>
    <w:rsid w:val="696D3E06"/>
    <w:rsid w:val="69B35A0D"/>
    <w:rsid w:val="69CA05FB"/>
    <w:rsid w:val="69CC607C"/>
    <w:rsid w:val="69EA1163"/>
    <w:rsid w:val="69F96768"/>
    <w:rsid w:val="6A287F98"/>
    <w:rsid w:val="6A657B3D"/>
    <w:rsid w:val="6AB40496"/>
    <w:rsid w:val="6ABD1D5E"/>
    <w:rsid w:val="6AC0289E"/>
    <w:rsid w:val="6AF33939"/>
    <w:rsid w:val="6B0F60AF"/>
    <w:rsid w:val="6B795D62"/>
    <w:rsid w:val="6B894EA4"/>
    <w:rsid w:val="6B9F34F9"/>
    <w:rsid w:val="6BC747F5"/>
    <w:rsid w:val="6BD35CE4"/>
    <w:rsid w:val="6BD82AE5"/>
    <w:rsid w:val="6BF66D35"/>
    <w:rsid w:val="6C1272FC"/>
    <w:rsid w:val="6C2F4AAB"/>
    <w:rsid w:val="6C3014BE"/>
    <w:rsid w:val="6C5D414F"/>
    <w:rsid w:val="6C77423E"/>
    <w:rsid w:val="6C943419"/>
    <w:rsid w:val="6C9C2F85"/>
    <w:rsid w:val="6CDE17FD"/>
    <w:rsid w:val="6CF21452"/>
    <w:rsid w:val="6D1D2C91"/>
    <w:rsid w:val="6D232D3C"/>
    <w:rsid w:val="6D2F5D1E"/>
    <w:rsid w:val="6D5B4A2E"/>
    <w:rsid w:val="6D792112"/>
    <w:rsid w:val="6DA004EB"/>
    <w:rsid w:val="6DE309B5"/>
    <w:rsid w:val="6E641038"/>
    <w:rsid w:val="6EB20821"/>
    <w:rsid w:val="6EB36C33"/>
    <w:rsid w:val="6EB55D09"/>
    <w:rsid w:val="6EBD0EA6"/>
    <w:rsid w:val="6F2E7208"/>
    <w:rsid w:val="6F430414"/>
    <w:rsid w:val="6F435405"/>
    <w:rsid w:val="6F4810D8"/>
    <w:rsid w:val="6F6D2BAA"/>
    <w:rsid w:val="6F9A4A47"/>
    <w:rsid w:val="6FDC792B"/>
    <w:rsid w:val="701710D0"/>
    <w:rsid w:val="702520EE"/>
    <w:rsid w:val="702547C4"/>
    <w:rsid w:val="703777AC"/>
    <w:rsid w:val="70795456"/>
    <w:rsid w:val="709946EC"/>
    <w:rsid w:val="71180D95"/>
    <w:rsid w:val="71B20425"/>
    <w:rsid w:val="724D262A"/>
    <w:rsid w:val="72702455"/>
    <w:rsid w:val="728F2E47"/>
    <w:rsid w:val="72973011"/>
    <w:rsid w:val="72A24472"/>
    <w:rsid w:val="72CD6505"/>
    <w:rsid w:val="72E42D1B"/>
    <w:rsid w:val="730C52E1"/>
    <w:rsid w:val="734F0911"/>
    <w:rsid w:val="736054C4"/>
    <w:rsid w:val="736B3914"/>
    <w:rsid w:val="736C572D"/>
    <w:rsid w:val="7380456B"/>
    <w:rsid w:val="7386292E"/>
    <w:rsid w:val="73A422EB"/>
    <w:rsid w:val="73C80EF6"/>
    <w:rsid w:val="74103E55"/>
    <w:rsid w:val="74456E15"/>
    <w:rsid w:val="745B622A"/>
    <w:rsid w:val="753E2D2E"/>
    <w:rsid w:val="753F2F7D"/>
    <w:rsid w:val="757D4B9C"/>
    <w:rsid w:val="75B40EC2"/>
    <w:rsid w:val="75C1632C"/>
    <w:rsid w:val="75DA6644"/>
    <w:rsid w:val="75DB13A5"/>
    <w:rsid w:val="75E552E3"/>
    <w:rsid w:val="76286C3F"/>
    <w:rsid w:val="7648538B"/>
    <w:rsid w:val="76531223"/>
    <w:rsid w:val="76BD747C"/>
    <w:rsid w:val="76CD52EB"/>
    <w:rsid w:val="76FE004A"/>
    <w:rsid w:val="770413F5"/>
    <w:rsid w:val="778C5BD9"/>
    <w:rsid w:val="77A268F6"/>
    <w:rsid w:val="77A519A7"/>
    <w:rsid w:val="77B415CE"/>
    <w:rsid w:val="77CC3658"/>
    <w:rsid w:val="77E26A35"/>
    <w:rsid w:val="77F2561D"/>
    <w:rsid w:val="780F54C3"/>
    <w:rsid w:val="782C6CF7"/>
    <w:rsid w:val="78644FBF"/>
    <w:rsid w:val="78680ECD"/>
    <w:rsid w:val="787F150D"/>
    <w:rsid w:val="787F4828"/>
    <w:rsid w:val="7880670B"/>
    <w:rsid w:val="78887263"/>
    <w:rsid w:val="78956590"/>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66876"/>
    <w:rsid w:val="7BCF2874"/>
    <w:rsid w:val="7C0471A6"/>
    <w:rsid w:val="7C090682"/>
    <w:rsid w:val="7C42064D"/>
    <w:rsid w:val="7C6A6CA8"/>
    <w:rsid w:val="7C884FFE"/>
    <w:rsid w:val="7CB31FBB"/>
    <w:rsid w:val="7CB938A2"/>
    <w:rsid w:val="7CE14EDD"/>
    <w:rsid w:val="7CF04E00"/>
    <w:rsid w:val="7D180F86"/>
    <w:rsid w:val="7D41026F"/>
    <w:rsid w:val="7D59343F"/>
    <w:rsid w:val="7D67119E"/>
    <w:rsid w:val="7DE208A3"/>
    <w:rsid w:val="7E0A78B3"/>
    <w:rsid w:val="7E2912F3"/>
    <w:rsid w:val="7E6305EF"/>
    <w:rsid w:val="7E8D50F9"/>
    <w:rsid w:val="7EDA5201"/>
    <w:rsid w:val="7F541664"/>
    <w:rsid w:val="7F697999"/>
    <w:rsid w:val="7F9026D0"/>
    <w:rsid w:val="7F984417"/>
    <w:rsid w:val="7FC35D7C"/>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333333"/>
      <w:u w:val="none"/>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widowControl w:val="0"/>
      <w:shd w:val="clear" w:color="auto" w:fill="auto"/>
      <w:spacing w:after="80"/>
    </w:pPr>
    <w:rPr>
      <w:rFonts w:ascii="MingLiU" w:hAnsi="MingLiU" w:eastAsia="MingLiU" w:cs="MingLiU"/>
      <w:sz w:val="20"/>
      <w:szCs w:val="20"/>
      <w:u w:val="none"/>
      <w:shd w:val="clear" w:color="auto" w:fill="auto"/>
      <w:lang w:val="zh-TW" w:eastAsia="zh-TW" w:bidi="zh-TW"/>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三级条标题"/>
    <w:basedOn w:val="18"/>
    <w:next w:val="16"/>
    <w:qFormat/>
    <w:uiPriority w:val="0"/>
    <w:pPr>
      <w:numPr>
        <w:ilvl w:val="4"/>
        <w:numId w:val="1"/>
      </w:numPr>
      <w:outlineLvl w:val="4"/>
    </w:pPr>
  </w:style>
  <w:style w:type="paragraph" w:customStyle="1" w:styleId="18">
    <w:name w:val="二级条标题"/>
    <w:basedOn w:val="19"/>
    <w:next w:val="16"/>
    <w:qFormat/>
    <w:uiPriority w:val="0"/>
    <w:pPr>
      <w:numPr>
        <w:ilvl w:val="3"/>
        <w:numId w:val="1"/>
      </w:numPr>
      <w:outlineLvl w:val="3"/>
    </w:pPr>
  </w:style>
  <w:style w:type="paragraph" w:customStyle="1" w:styleId="19">
    <w:name w:val="一级条标题"/>
    <w:next w:val="16"/>
    <w:qFormat/>
    <w:uiPriority w:val="0"/>
    <w:pPr>
      <w:numPr>
        <w:ilvl w:val="2"/>
        <w:numId w:val="1"/>
      </w:numPr>
      <w:outlineLvl w:val="2"/>
    </w:pPr>
    <w:rPr>
      <w:rFonts w:ascii="Times New Roman" w:hAnsi="Times New Roman" w:eastAsia="黑体" w:cs="Times New Roman"/>
      <w:sz w:val="21"/>
      <w:lang w:val="en-US" w:eastAsia="zh-CN" w:bidi="ar-SA"/>
    </w:rPr>
  </w:style>
  <w:style w:type="paragraph" w:styleId="20">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2020-06-18T08:14:06Z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