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四川金土地实业有限公司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915100007798424549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四川金土地实业有限公司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规划编制)、地图编制；计算机软件开发所涉及场所的相关职业健康安全管理活动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规划编制)、地图编制；计算机软件开发所涉及场所的相关环境管理活动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四川金土地实业有限公司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规划编制)、地图编制；计算机软件开发所涉及场所的相关职业健康安全管理活动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E：资质范围内测绘服务(测绘航空摄影、摄影测量与遥感、地理信息系统工程、工程测量、界线与不动产测 绘、地理信息数据采集及处理)、农业综合开发生态工程设计、土地规划、土地整理规划、土地调查、自然资源调查、土地信息咨询服务、国土空间规划(乡村振兴总体规划、城乡规划编制、村级 规划编制)、地图编制；计算机软件开发所涉及场所的相关环境管理活动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