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合肥耘达餐饮文化管理有限公司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14001:2015,O：GB/T45001—2020/ISO 45001:2018,F：GB/T22000-2006/ISO22000:2005,H：GB/T27341-2009/GB14881-2013</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0224-2020-QEOHF</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2019-N1QMS-1258213</w:t>
            </w:r>
          </w:p>
          <w:p w:rsidR="009F508A">
            <w:pPr>
              <w:snapToGrid w:val="0"/>
              <w:spacing w:line="320" w:lineRule="exact"/>
              <w:ind w:left="1309"/>
              <w:rPr>
                <w:sz w:val="22"/>
                <w:szCs w:val="22"/>
                <w:highlight w:val="yellow"/>
              </w:rPr>
            </w:pPr>
            <w:r>
              <w:rPr>
                <w:sz w:val="22"/>
                <w:szCs w:val="22"/>
                <w:highlight w:val="yellow"/>
              </w:rPr>
              <w:t>2020-N1EMS-1258213</w:t>
            </w:r>
          </w:p>
          <w:p w:rsidR="009F508A">
            <w:pPr>
              <w:snapToGrid w:val="0"/>
              <w:spacing w:line="320" w:lineRule="exact"/>
              <w:ind w:left="1309"/>
              <w:rPr>
                <w:sz w:val="22"/>
                <w:szCs w:val="22"/>
                <w:highlight w:val="yellow"/>
              </w:rPr>
            </w:pPr>
            <w:r>
              <w:rPr>
                <w:sz w:val="22"/>
                <w:szCs w:val="22"/>
                <w:highlight w:val="yellow"/>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苗薇</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2020-N1QMS-2050658</w:t>
            </w:r>
          </w:p>
          <w:p w:rsidR="009F508A">
            <w:pPr>
              <w:snapToGrid w:val="0"/>
              <w:spacing w:line="320" w:lineRule="exact"/>
              <w:ind w:left="1309"/>
              <w:rPr>
                <w:sz w:val="22"/>
                <w:szCs w:val="22"/>
                <w:highlight w:val="yellow"/>
              </w:rPr>
            </w:pPr>
            <w:r>
              <w:rPr>
                <w:sz w:val="22"/>
                <w:szCs w:val="22"/>
                <w:highlight w:val="yellow"/>
              </w:rPr>
              <w:t>2018-N1FSMS-1050658</w:t>
            </w:r>
          </w:p>
          <w:p w:rsidR="009F508A">
            <w:pPr>
              <w:snapToGrid w:val="0"/>
              <w:spacing w:line="320" w:lineRule="exact"/>
              <w:ind w:left="1309"/>
              <w:rPr>
                <w:sz w:val="22"/>
                <w:szCs w:val="22"/>
                <w:highlight w:val="yellow"/>
              </w:rPr>
            </w:pPr>
            <w:r>
              <w:rPr>
                <w:sz w:val="22"/>
                <w:szCs w:val="22"/>
                <w:highlight w:val="yellow"/>
              </w:rPr>
              <w:t>2019-N1HACCP-1050658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p w:rsidR="009F508A">
            <w:pPr>
              <w:snapToGrid w:val="0"/>
              <w:spacing w:line="320" w:lineRule="exact"/>
              <w:ind w:left="1309"/>
              <w:rPr>
                <w:sz w:val="22"/>
                <w:szCs w:val="22"/>
                <w:highlight w:val="yellow"/>
              </w:rPr>
            </w:pPr>
            <w:r>
              <w:rPr>
                <w:sz w:val="22"/>
                <w:szCs w:val="22"/>
                <w:highlight w:val="yellow"/>
              </w:rPr>
              <w:t>2017-N1EMS-3047774</w:t>
            </w:r>
          </w:p>
          <w:p w:rsidR="009F508A">
            <w:pPr>
              <w:snapToGrid w:val="0"/>
              <w:spacing w:line="320" w:lineRule="exact"/>
              <w:ind w:left="1309"/>
              <w:rPr>
                <w:sz w:val="22"/>
                <w:szCs w:val="22"/>
                <w:highlight w:val="yellow"/>
              </w:rPr>
            </w:pPr>
            <w:r>
              <w:rPr>
                <w:sz w:val="22"/>
                <w:szCs w:val="22"/>
                <w:highlight w:val="yellow"/>
              </w:rPr>
              <w:t>2018-N1FSMS-3047774</w:t>
            </w:r>
          </w:p>
          <w:p w:rsidR="009F508A">
            <w:pPr>
              <w:snapToGrid w:val="0"/>
              <w:spacing w:line="320" w:lineRule="exact"/>
              <w:ind w:left="1309"/>
              <w:rPr>
                <w:sz w:val="22"/>
                <w:szCs w:val="22"/>
                <w:highlight w:val="yellow"/>
              </w:rPr>
            </w:pPr>
            <w:r>
              <w:rPr>
                <w:sz w:val="22"/>
                <w:szCs w:val="22"/>
                <w:highlight w:val="yellow"/>
              </w:rPr>
              <w:t>2018-N1HACCP-3047774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