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pPr w:leftFromText="180" w:rightFromText="180" w:vertAnchor="text" w:horzAnchor="page" w:tblpX="1118" w:tblpY="4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596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96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 xml:space="preserve"> 陪同：</w:t>
            </w:r>
            <w:r>
              <w:rPr>
                <w:rFonts w:hint="eastAsia" w:ascii="宋体" w:hAnsi="宋体"/>
                <w:spacing w:val="20"/>
                <w:sz w:val="24"/>
                <w:u w:val="none"/>
                <w:lang w:eastAsia="zh-CN"/>
              </w:rPr>
              <w:t>宋国嵩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0596" w:type="dxa"/>
            <w:noWrap w:val="0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审核员：伍光华、文波    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5.31</w:t>
            </w: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0596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审核条款：一阶段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远程</w:t>
            </w:r>
            <w:r>
              <w:rPr>
                <w:rFonts w:hint="eastAsia"/>
                <w:sz w:val="24"/>
                <w:szCs w:val="24"/>
              </w:rPr>
              <w:t>审核</w:t>
            </w: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noWrap w:val="0"/>
            <w:vAlign w:val="top"/>
          </w:tcPr>
          <w:p>
            <w:pPr>
              <w:tabs>
                <w:tab w:val="left" w:pos="1815"/>
                <w:tab w:val="left" w:pos="2820"/>
              </w:tabs>
              <w:spacing w:line="360" w:lineRule="auto"/>
              <w:jc w:val="both"/>
              <w:rPr>
                <w:rFonts w:hint="eastAsia" w:ascii="宋体" w:hAnsi="宋体"/>
                <w:color w:val="000000"/>
                <w:spacing w:val="2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  <w:lang w:eastAsia="zh-CN"/>
              </w:rPr>
              <w:t>企业名称确认</w:t>
            </w:r>
          </w:p>
          <w:p>
            <w:pPr>
              <w:tabs>
                <w:tab w:val="left" w:pos="1815"/>
                <w:tab w:val="left" w:pos="2820"/>
              </w:tabs>
              <w:spacing w:line="360" w:lineRule="auto"/>
              <w:jc w:val="both"/>
              <w:rPr>
                <w:rFonts w:hint="eastAsia" w:ascii="宋体" w:hAnsi="宋体"/>
                <w:color w:val="000000"/>
                <w:spacing w:val="2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  <w:lang w:eastAsia="zh-CN"/>
              </w:rPr>
              <w:t>地址（包括注册地址、生产/经营地址）、多场所地址等</w:t>
            </w:r>
          </w:p>
          <w:p>
            <w:pPr>
              <w:tabs>
                <w:tab w:val="left" w:pos="1815"/>
                <w:tab w:val="left" w:pos="2820"/>
              </w:tabs>
              <w:spacing w:line="360" w:lineRule="auto"/>
              <w:jc w:val="both"/>
              <w:rPr>
                <w:rFonts w:hint="eastAsia" w:ascii="宋体" w:hAnsi="宋体"/>
                <w:color w:val="000000"/>
                <w:spacing w:val="2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  <w:lang w:eastAsia="zh-CN"/>
              </w:rPr>
              <w:t>营业执照、组织机构代码证、相关资质的有效性确认</w:t>
            </w:r>
          </w:p>
          <w:p>
            <w:pPr>
              <w:tabs>
                <w:tab w:val="left" w:pos="1815"/>
                <w:tab w:val="left" w:pos="2820"/>
              </w:tabs>
              <w:spacing w:line="360" w:lineRule="auto"/>
              <w:jc w:val="both"/>
              <w:rPr>
                <w:rFonts w:hint="eastAsia" w:ascii="宋体" w:hAnsi="宋体"/>
                <w:color w:val="000000"/>
                <w:spacing w:val="2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  <w:lang w:eastAsia="zh-CN"/>
              </w:rPr>
              <w:t>管理体系运行起始日</w:t>
            </w:r>
          </w:p>
          <w:p>
            <w:pPr>
              <w:tabs>
                <w:tab w:val="left" w:pos="1815"/>
                <w:tab w:val="left" w:pos="2820"/>
              </w:tabs>
              <w:spacing w:line="360" w:lineRule="auto"/>
              <w:jc w:val="both"/>
              <w:rPr>
                <w:rFonts w:hint="eastAsia" w:ascii="宋体" w:hAnsi="宋体"/>
                <w:color w:val="000000"/>
                <w:spacing w:val="2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  <w:lang w:eastAsia="zh-CN"/>
              </w:rPr>
              <w:t>确认组织实际与管理体系文件描述的一致性</w:t>
            </w:r>
          </w:p>
          <w:p>
            <w:pPr>
              <w:spacing w:line="400" w:lineRule="exact"/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b/>
                <w:bCs/>
              </w:rPr>
            </w:pPr>
          </w:p>
        </w:tc>
        <w:tc>
          <w:tcPr>
            <w:tcW w:w="960" w:type="dxa"/>
            <w:noWrap w:val="0"/>
            <w:vAlign w:val="top"/>
          </w:tcPr>
          <w:p/>
        </w:tc>
        <w:tc>
          <w:tcPr>
            <w:tcW w:w="10596" w:type="dxa"/>
            <w:noWrap w:val="0"/>
            <w:vAlign w:val="top"/>
          </w:tcPr>
          <w:p>
            <w:pPr>
              <w:spacing w:line="340" w:lineRule="exact"/>
              <w:ind w:firstLine="840" w:firstLineChars="300"/>
              <w:rPr>
                <w:rFonts w:hint="eastAsia" w:ascii="宋体" w:hAnsi="宋体" w:eastAsia="宋体"/>
                <w:color w:val="000000"/>
                <w:spacing w:val="2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  <w:lang w:eastAsia="zh-CN"/>
              </w:rPr>
              <w:t>江西朗卡科技</w:t>
            </w:r>
            <w:r>
              <w:rPr>
                <w:rFonts w:hint="eastAsia" w:ascii="宋体" w:hAnsi="宋体"/>
                <w:color w:val="000000"/>
                <w:spacing w:val="20"/>
                <w:sz w:val="24"/>
              </w:rPr>
              <w:t>有限公司是一家</w:t>
            </w:r>
            <w:r>
              <w:rPr>
                <w:rFonts w:hint="eastAsia" w:ascii="宋体" w:hAnsi="宋体"/>
                <w:color w:val="000000"/>
                <w:spacing w:val="20"/>
                <w:sz w:val="24"/>
                <w:lang w:eastAsia="zh-CN"/>
              </w:rPr>
              <w:t>经营范围包括</w:t>
            </w:r>
            <w:r>
              <w:rPr>
                <w:rFonts w:hint="eastAsia" w:ascii="宋体" w:hAnsi="宋体"/>
                <w:color w:val="000000"/>
                <w:spacing w:val="20"/>
                <w:sz w:val="24"/>
              </w:rPr>
              <w:t>计算机软硬件技术开发、技术服务；建筑材料、化工产品（易制毒及危险化学品除外）、预拌混凝土、金属材料销售；石材养护；室内外装饰工程、地坪工程、体育场地设施工程；网上贸易代理；自营和代理各类商品及技术的进出口业务有限公司。注册地位于江西省南昌市青山湖区解放东路179号龙鼎商业广场(原金城国际)10号商业办公楼-307室</w:t>
            </w:r>
            <w:r>
              <w:rPr>
                <w:rFonts w:hint="eastAsia" w:ascii="宋体" w:hAnsi="宋体"/>
                <w:color w:val="000000"/>
                <w:spacing w:val="20"/>
                <w:sz w:val="24"/>
                <w:lang w:eastAsia="zh-CN"/>
              </w:rPr>
              <w:t>。</w:t>
            </w:r>
          </w:p>
          <w:p>
            <w:pPr>
              <w:tabs>
                <w:tab w:val="left" w:pos="1815"/>
                <w:tab w:val="left" w:pos="2820"/>
              </w:tabs>
              <w:spacing w:line="360" w:lineRule="auto"/>
              <w:ind w:firstLine="280" w:firstLineChars="100"/>
              <w:jc w:val="left"/>
              <w:rPr>
                <w:rFonts w:hint="default" w:ascii="宋体" w:hAnsi="宋体"/>
                <w:color w:val="000000"/>
                <w:spacing w:val="2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  <w:lang w:val="en-US" w:eastAsia="zh-CN"/>
              </w:rPr>
              <w:t>机构设置有：综合部、采购部、销售部</w:t>
            </w:r>
          </w:p>
          <w:p>
            <w:pPr>
              <w:tabs>
                <w:tab w:val="left" w:pos="1815"/>
                <w:tab w:val="left" w:pos="2820"/>
              </w:tabs>
              <w:spacing w:line="360" w:lineRule="auto"/>
              <w:ind w:firstLine="280" w:firstLineChars="100"/>
              <w:jc w:val="left"/>
              <w:rPr>
                <w:rFonts w:hint="eastAsia" w:ascii="宋体" w:hAnsi="宋体"/>
                <w:color w:val="000000"/>
                <w:spacing w:val="2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  <w:lang w:eastAsia="zh-CN"/>
              </w:rPr>
              <w:t>现场确认范围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bookmarkStart w:id="0" w:name="审核范围"/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  <w:lang w:eastAsia="zh-CN"/>
              </w:rPr>
              <w:t>Q：</w:t>
            </w:r>
            <w:r>
              <w:rPr>
                <w:sz w:val="24"/>
                <w:szCs w:val="24"/>
              </w:rPr>
              <w:t>环氧树脂地坪、混凝土密封固化地坪、金刚砂耐磨地坪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涂料</w:t>
            </w:r>
            <w:r>
              <w:rPr>
                <w:sz w:val="24"/>
                <w:szCs w:val="24"/>
              </w:rPr>
              <w:t>的销售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  <w:szCs w:val="24"/>
                <w:lang w:eastAsia="zh-CN"/>
              </w:rPr>
              <w:t>E：</w:t>
            </w:r>
            <w:r>
              <w:rPr>
                <w:sz w:val="24"/>
                <w:szCs w:val="24"/>
              </w:rPr>
              <w:t>环氧树脂地坪、混凝土密封固化地坪、金刚砂耐磨地坪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涂料</w:t>
            </w:r>
            <w:r>
              <w:rPr>
                <w:sz w:val="24"/>
                <w:szCs w:val="24"/>
              </w:rPr>
              <w:t>的销售所涉及的相关环境管理活动</w:t>
            </w:r>
          </w:p>
          <w:p>
            <w:pPr>
              <w:tabs>
                <w:tab w:val="left" w:pos="1815"/>
                <w:tab w:val="left" w:pos="2820"/>
              </w:tabs>
              <w:spacing w:line="360" w:lineRule="auto"/>
              <w:jc w:val="left"/>
              <w:rPr>
                <w:rFonts w:hint="eastAsia" w:ascii="宋体" w:hAnsi="宋体"/>
                <w:color w:val="000000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  <w:szCs w:val="24"/>
                <w:lang w:eastAsia="zh-CN"/>
              </w:rPr>
              <w:t>O：</w:t>
            </w:r>
            <w:bookmarkEnd w:id="0"/>
            <w:r>
              <w:rPr>
                <w:sz w:val="24"/>
                <w:szCs w:val="24"/>
              </w:rPr>
              <w:t>环氧树脂地坪、混凝土密封固化地坪、金刚砂耐磨地坪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涂料</w:t>
            </w:r>
            <w:r>
              <w:rPr>
                <w:sz w:val="24"/>
                <w:szCs w:val="24"/>
              </w:rPr>
              <w:t>的销售所涉及的相关职业健康安全管理活动</w:t>
            </w:r>
          </w:p>
          <w:p>
            <w:pPr>
              <w:tabs>
                <w:tab w:val="left" w:pos="1815"/>
                <w:tab w:val="left" w:pos="2820"/>
              </w:tabs>
              <w:spacing w:line="360" w:lineRule="auto"/>
              <w:ind w:firstLine="280" w:firstLineChars="100"/>
              <w:jc w:val="left"/>
              <w:rPr>
                <w:rFonts w:hint="eastAsia" w:ascii="宋体" w:hAnsi="宋体"/>
                <w:color w:val="000000"/>
                <w:spacing w:val="2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  <w:lang w:eastAsia="zh-CN"/>
              </w:rPr>
              <w:t>认证领域及标准：</w:t>
            </w:r>
          </w:p>
          <w:p>
            <w:pPr>
              <w:spacing w:line="360" w:lineRule="auto"/>
              <w:ind w:firstLine="422" w:firstLineChars="200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1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9001:2015,E：GB/T 24001-2016idtISO 14001:2015,O：GB/T45001—2020/ISO 45001:2018</w:t>
            </w:r>
            <w:bookmarkEnd w:id="1"/>
          </w:p>
          <w:p>
            <w:pPr>
              <w:spacing w:line="360" w:lineRule="auto"/>
              <w:ind w:firstLine="240" w:firstLineChars="100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公司于20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000000"/>
                <w:sz w:val="24"/>
              </w:rPr>
              <w:t>日在公司会议室召开了20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sz w:val="24"/>
              </w:rPr>
              <w:t>年度管理评审（质量、环境和职业健康安全）会议。由公司最高管理者</w:t>
            </w:r>
            <w:r>
              <w:rPr>
                <w:rFonts w:hint="eastAsia" w:ascii="宋体" w:hAnsi="宋体"/>
                <w:spacing w:val="20"/>
                <w:sz w:val="24"/>
                <w:lang w:eastAsia="zh-CN"/>
              </w:rPr>
              <w:t>彭桂福</w:t>
            </w:r>
            <w:r>
              <w:rPr>
                <w:rFonts w:hint="eastAsia" w:ascii="宋体" w:hAnsi="宋体"/>
                <w:color w:val="000000"/>
                <w:sz w:val="24"/>
              </w:rPr>
              <w:t>总经理主持</w:t>
            </w:r>
            <w:r>
              <w:rPr>
                <w:rFonts w:hint="eastAsia" w:ascii="宋体" w:hAnsi="宋体"/>
                <w:color w:val="000000"/>
                <w:sz w:val="24"/>
                <w:szCs w:val="22"/>
              </w:rPr>
              <w:t>，提供管理评审报告，具体内容，二阶段进一步审核。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1" w:hRule="atLeast"/>
        </w:trPr>
        <w:tc>
          <w:tcPr>
            <w:tcW w:w="2160" w:type="dxa"/>
            <w:noWrap w:val="0"/>
            <w:vAlign w:val="top"/>
          </w:tcPr>
          <w:p>
            <w:pPr>
              <w:tabs>
                <w:tab w:val="left" w:pos="1815"/>
                <w:tab w:val="left" w:pos="2820"/>
              </w:tabs>
              <w:spacing w:line="360" w:lineRule="auto"/>
              <w:jc w:val="both"/>
              <w:rPr>
                <w:rFonts w:hint="eastAsia" w:ascii="宋体" w:hAnsi="宋体"/>
                <w:color w:val="000000"/>
                <w:spacing w:val="2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  <w:lang w:eastAsia="zh-CN"/>
              </w:rPr>
              <w:t>组织机构（如部门设置和负责人，服务过程）</w:t>
            </w:r>
          </w:p>
          <w:p>
            <w:pPr>
              <w:tabs>
                <w:tab w:val="left" w:pos="1815"/>
                <w:tab w:val="left" w:pos="2820"/>
              </w:tabs>
              <w:spacing w:line="360" w:lineRule="auto"/>
              <w:jc w:val="both"/>
              <w:rPr>
                <w:rFonts w:hint="eastAsia" w:ascii="宋体" w:hAnsi="宋体"/>
                <w:color w:val="000000"/>
                <w:spacing w:val="2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  <w:lang w:eastAsia="zh-CN"/>
              </w:rPr>
              <w:t>认证范围产品用途、顾客群等</w:t>
            </w:r>
          </w:p>
          <w:p>
            <w:pPr>
              <w:tabs>
                <w:tab w:val="left" w:pos="1815"/>
                <w:tab w:val="left" w:pos="2820"/>
              </w:tabs>
              <w:spacing w:line="360" w:lineRule="auto"/>
              <w:jc w:val="both"/>
              <w:rPr>
                <w:rFonts w:hint="eastAsia" w:ascii="宋体" w:hAnsi="宋体"/>
                <w:color w:val="000000"/>
                <w:spacing w:val="2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  <w:lang w:eastAsia="zh-CN"/>
              </w:rPr>
              <w:t>相关法规</w:t>
            </w:r>
          </w:p>
          <w:p>
            <w:pPr>
              <w:tabs>
                <w:tab w:val="left" w:pos="1815"/>
                <w:tab w:val="left" w:pos="2820"/>
              </w:tabs>
              <w:spacing w:line="360" w:lineRule="auto"/>
              <w:jc w:val="both"/>
              <w:rPr>
                <w:rFonts w:hint="eastAsia" w:ascii="宋体" w:hAnsi="宋体"/>
                <w:color w:val="000000"/>
                <w:spacing w:val="2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  <w:lang w:eastAsia="zh-CN"/>
              </w:rPr>
              <w:t>相关方投诉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/>
        </w:tc>
        <w:tc>
          <w:tcPr>
            <w:tcW w:w="960" w:type="dxa"/>
            <w:noWrap w:val="0"/>
            <w:vAlign w:val="top"/>
          </w:tcPr>
          <w:p/>
        </w:tc>
        <w:tc>
          <w:tcPr>
            <w:tcW w:w="1059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pacing w:val="2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  <w:lang w:eastAsia="zh-CN"/>
              </w:rPr>
              <w:t>机构设置分为：</w:t>
            </w:r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  <w:lang w:val="en-US" w:eastAsia="zh-CN"/>
              </w:rPr>
              <w:t>综合</w:t>
            </w:r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  <w:lang w:eastAsia="zh-CN"/>
              </w:rPr>
              <w:t>部、采购部、销售部等三个主要部门。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pacing w:val="2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  <w:lang w:eastAsia="zh-CN"/>
              </w:rPr>
              <w:t>企业对特殊过程进行确认、识别，并制定《销售服务规范》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  <w:lang w:eastAsia="zh-CN"/>
              </w:rPr>
              <w:t xml:space="preserve">特殊过程：销售服务过程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 xml:space="preserve">             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hint="eastAsia" w:ascii="宋体" w:hAnsi="宋体"/>
                <w:color w:val="000000"/>
                <w:spacing w:val="2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20"/>
                <w:kern w:val="2"/>
                <w:sz w:val="24"/>
                <w:szCs w:val="22"/>
                <w:lang w:val="en-US" w:eastAsia="zh-CN" w:bidi="ar-SA"/>
              </w:rPr>
              <w:t>提供了法律、法规和其他要求现行标准、规程、规范索引清单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hint="eastAsia" w:ascii="宋体" w:hAnsi="宋体"/>
                <w:color w:val="000000"/>
                <w:spacing w:val="2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pacing w:val="2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20"/>
                <w:kern w:val="2"/>
                <w:sz w:val="24"/>
                <w:szCs w:val="22"/>
                <w:lang w:val="en-US" w:eastAsia="zh-CN" w:bidi="ar-SA"/>
              </w:rPr>
              <w:t>提供《安全法律法规及其它要求清单》、《环境法律法规及其它要求清单》；提供了《外来文件清单》</w:t>
            </w:r>
          </w:p>
          <w:p>
            <w:pPr>
              <w:pStyle w:val="11"/>
              <w:spacing w:line="360" w:lineRule="auto"/>
              <w:rPr>
                <w:rFonts w:hint="eastAsia" w:ascii="宋体" w:hAnsi="宋体" w:eastAsia="宋体"/>
                <w:color w:val="000000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20"/>
                <w:kern w:val="2"/>
                <w:sz w:val="24"/>
                <w:szCs w:val="22"/>
                <w:lang w:val="en-US" w:eastAsia="zh-CN" w:bidi="ar-SA"/>
              </w:rPr>
              <w:t>“外来文件清单”提供了</w:t>
            </w:r>
            <w:r>
              <w:rPr>
                <w:rFonts w:hint="eastAsia"/>
                <w:sz w:val="24"/>
                <w:szCs w:val="24"/>
              </w:rPr>
              <w:t>混凝土密封固化地坪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JC/T 973-2005、</w:t>
            </w:r>
            <w:r>
              <w:rPr>
                <w:rFonts w:hint="eastAsia"/>
                <w:sz w:val="24"/>
                <w:szCs w:val="24"/>
                <w:lang w:eastAsia="zh-CN"/>
              </w:rPr>
              <w:t>环氧树脂地坪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GB/T22374-2008、</w:t>
            </w:r>
            <w:r>
              <w:rPr>
                <w:rFonts w:hint="eastAsia"/>
                <w:sz w:val="24"/>
                <w:szCs w:val="24"/>
              </w:rPr>
              <w:t>金刚砂耐磨地坪JC/T 906-2002</w:t>
            </w:r>
            <w:r>
              <w:rPr>
                <w:rFonts w:hint="eastAsia"/>
                <w:sz w:val="24"/>
                <w:szCs w:val="24"/>
                <w:lang w:eastAsia="zh-CN"/>
              </w:rPr>
              <w:t>、涂料</w:t>
            </w:r>
            <w:r>
              <w:rPr>
                <w:rFonts w:hint="eastAsia"/>
                <w:sz w:val="24"/>
                <w:szCs w:val="24"/>
              </w:rPr>
              <w:t> JG/T 172——2005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等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color w:val="000000"/>
                <w:spacing w:val="2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pacing w:val="20"/>
                <w:kern w:val="2"/>
                <w:sz w:val="24"/>
                <w:szCs w:val="22"/>
                <w:lang w:val="en-US" w:eastAsia="zh-CN" w:bidi="ar-SA"/>
              </w:rPr>
              <w:t>相关方投诉情况：无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pacing w:val="2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pacing w:val="20"/>
                <w:kern w:val="2"/>
                <w:sz w:val="24"/>
                <w:szCs w:val="22"/>
                <w:lang w:val="en-US" w:eastAsia="zh-CN" w:bidi="ar-SA"/>
              </w:rPr>
              <w:t>该企业不涉及环评。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8" w:hRule="atLeast"/>
        </w:trPr>
        <w:tc>
          <w:tcPr>
            <w:tcW w:w="2160" w:type="dxa"/>
            <w:noWrap w:val="0"/>
            <w:vAlign w:val="top"/>
          </w:tcPr>
          <w:p>
            <w:pPr>
              <w:tabs>
                <w:tab w:val="left" w:pos="1815"/>
                <w:tab w:val="left" w:pos="2820"/>
              </w:tabs>
              <w:spacing w:line="360" w:lineRule="auto"/>
              <w:jc w:val="both"/>
              <w:rPr>
                <w:rFonts w:hint="eastAsia" w:ascii="宋体" w:hAnsi="宋体"/>
                <w:color w:val="000000"/>
                <w:spacing w:val="2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  <w:lang w:eastAsia="zh-CN"/>
              </w:rPr>
              <w:t>方针、目标、指标和方案情况</w:t>
            </w:r>
          </w:p>
          <w:p/>
        </w:tc>
        <w:tc>
          <w:tcPr>
            <w:tcW w:w="960" w:type="dxa"/>
            <w:noWrap w:val="0"/>
            <w:vAlign w:val="top"/>
          </w:tcPr>
          <w:p/>
        </w:tc>
        <w:tc>
          <w:tcPr>
            <w:tcW w:w="105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/>
                <w:b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2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b/>
                <w:bCs/>
                <w:spacing w:val="20"/>
                <w:sz w:val="24"/>
              </w:rPr>
              <w:t>质量环境职业健康安全方针：</w:t>
            </w:r>
          </w:p>
          <w:p>
            <w:pPr>
              <w:spacing w:line="400" w:lineRule="exact"/>
              <w:ind w:firstLine="560" w:firstLineChars="200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 xml:space="preserve">质量至上、持续创新、诚实守信、顾客至上 </w:t>
            </w:r>
          </w:p>
          <w:p>
            <w:pPr>
              <w:spacing w:line="400" w:lineRule="exact"/>
              <w:ind w:firstLine="560" w:firstLineChars="200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预防为主，降低风险；遵章守法，创造和谐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/>
                <w:b/>
                <w:bCs/>
                <w:spacing w:val="2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20"/>
                <w:sz w:val="24"/>
                <w:szCs w:val="22"/>
                <w:lang w:val="en-US" w:eastAsia="zh-CN"/>
              </w:rPr>
              <w:t>2.管理目标：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/>
                <w:b/>
                <w:bCs/>
                <w:spacing w:val="2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20"/>
                <w:sz w:val="24"/>
                <w:szCs w:val="22"/>
                <w:lang w:val="en-US" w:eastAsia="zh-CN"/>
              </w:rPr>
              <w:t>质量目标：</w:t>
            </w:r>
          </w:p>
          <w:p>
            <w:pPr>
              <w:spacing w:line="400" w:lineRule="exact"/>
              <w:ind w:firstLine="560" w:firstLineChars="200"/>
              <w:rPr>
                <w:rFonts w:hint="eastAsia" w:ascii="宋体" w:hAnsi="宋体"/>
                <w:spacing w:val="20"/>
                <w:sz w:val="24"/>
                <w:szCs w:val="22"/>
              </w:rPr>
            </w:pPr>
            <w:r>
              <w:rPr>
                <w:rFonts w:hint="eastAsia" w:ascii="宋体" w:hAnsi="宋体"/>
                <w:spacing w:val="20"/>
                <w:sz w:val="24"/>
                <w:szCs w:val="22"/>
              </w:rPr>
              <w:t>1、交货及时率≥95%；2、顾客满意度92分以上；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/>
                <w:b/>
                <w:bCs/>
                <w:spacing w:val="2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20"/>
                <w:sz w:val="24"/>
                <w:szCs w:val="22"/>
                <w:lang w:val="en-US" w:eastAsia="zh-CN"/>
              </w:rPr>
              <w:t>环境目标：</w:t>
            </w:r>
          </w:p>
          <w:p>
            <w:pPr>
              <w:spacing w:line="400" w:lineRule="exact"/>
              <w:ind w:firstLine="560" w:firstLineChars="200"/>
              <w:rPr>
                <w:rFonts w:hint="eastAsia" w:ascii="宋体" w:hAnsi="宋体"/>
                <w:spacing w:val="20"/>
                <w:sz w:val="24"/>
                <w:szCs w:val="22"/>
              </w:rPr>
            </w:pPr>
            <w:r>
              <w:rPr>
                <w:rFonts w:hint="eastAsia" w:ascii="宋体" w:hAnsi="宋体"/>
                <w:spacing w:val="20"/>
                <w:sz w:val="24"/>
                <w:szCs w:val="22"/>
              </w:rPr>
              <w:t>固体废弃物分类处理率100%；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/>
                <w:b/>
                <w:bCs/>
                <w:spacing w:val="2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20"/>
                <w:sz w:val="24"/>
                <w:szCs w:val="22"/>
                <w:lang w:val="en-US" w:eastAsia="zh-CN"/>
              </w:rPr>
              <w:t>职业健康安全目标：</w:t>
            </w:r>
          </w:p>
          <w:p>
            <w:pPr>
              <w:spacing w:line="400" w:lineRule="exact"/>
              <w:ind w:firstLine="560" w:firstLineChars="200"/>
              <w:rPr>
                <w:rFonts w:hint="eastAsia" w:ascii="宋体" w:hAnsi="宋体"/>
                <w:spacing w:val="20"/>
                <w:sz w:val="24"/>
                <w:szCs w:val="22"/>
              </w:rPr>
            </w:pPr>
            <w:r>
              <w:rPr>
                <w:rFonts w:hint="eastAsia" w:ascii="宋体" w:hAnsi="宋体"/>
                <w:spacing w:val="20"/>
                <w:sz w:val="24"/>
                <w:szCs w:val="22"/>
              </w:rPr>
              <w:t>火灾事故未0；</w:t>
            </w:r>
            <w:r>
              <w:rPr>
                <w:rFonts w:hint="eastAsia" w:ascii="宋体" w:hAnsi="宋体"/>
                <w:color w:val="FF0000"/>
                <w:spacing w:val="20"/>
                <w:sz w:val="24"/>
                <w:szCs w:val="22"/>
                <w:lang w:val="en-US" w:eastAsia="zh-CN"/>
              </w:rPr>
              <w:t>中毒、</w:t>
            </w:r>
            <w:r>
              <w:rPr>
                <w:rFonts w:hint="eastAsia" w:ascii="宋体" w:hAnsi="宋体"/>
                <w:spacing w:val="20"/>
                <w:sz w:val="24"/>
                <w:szCs w:val="22"/>
              </w:rPr>
              <w:t>交通意外伤害为零。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hint="eastAsia" w:ascii="宋体" w:hAnsi="宋体"/>
                <w:spacing w:val="2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pacing w:val="20"/>
                <w:kern w:val="2"/>
                <w:sz w:val="24"/>
                <w:szCs w:val="22"/>
                <w:lang w:val="en-US" w:eastAsia="zh-CN" w:bidi="ar-SA"/>
              </w:rPr>
              <w:t>提供了《环境因素和危险源识别评价与控制程序》，二阶段进行进一步关注对目标指标过程的管控。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left" w:pos="6945"/>
                <w:tab w:val="clear" w:pos="4153"/>
                <w:tab w:val="clear" w:pos="8306"/>
              </w:tabs>
              <w:jc w:val="left"/>
              <w:rPr>
                <w:rFonts w:hint="eastAsia" w:ascii="宋体" w:hAnsi="宋体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ab/>
            </w:r>
          </w:p>
          <w:p>
            <w:pPr>
              <w:tabs>
                <w:tab w:val="left" w:pos="2027"/>
              </w:tabs>
              <w:bidi w:val="0"/>
              <w:jc w:val="left"/>
              <w:rPr>
                <w:rFonts w:hint="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lang w:val="en-US" w:eastAsia="zh-CN" w:bidi="ar-SA"/>
              </w:rPr>
              <w:tab/>
            </w: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9" w:hRule="atLeast"/>
        </w:trPr>
        <w:tc>
          <w:tcPr>
            <w:tcW w:w="2160" w:type="dxa"/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合规性评价报告</w:t>
            </w:r>
            <w:r>
              <w:rPr>
                <w:szCs w:val="21"/>
              </w:rPr>
              <w:t xml:space="preserve"> 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重要环境因素（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不可接受危险源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内审情况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环保、安全设施（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</w:t>
            </w:r>
            <w:r>
              <w:rPr>
                <w:szCs w:val="21"/>
              </w:rPr>
              <w:t>\</w:t>
            </w:r>
            <w:r>
              <w:rPr>
                <w:rFonts w:hint="eastAsia"/>
                <w:szCs w:val="21"/>
              </w:rPr>
              <w:t>安全监测设备（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rPr>
                <w:rFonts w:hint="eastAsia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现场观察</w:t>
            </w:r>
          </w:p>
          <w:p>
            <w:pPr>
              <w:rPr>
                <w:b/>
                <w:bCs/>
              </w:rPr>
            </w:pPr>
          </w:p>
        </w:tc>
        <w:tc>
          <w:tcPr>
            <w:tcW w:w="960" w:type="dxa"/>
            <w:noWrap w:val="0"/>
            <w:vAlign w:val="top"/>
          </w:tcPr>
          <w:p/>
        </w:tc>
        <w:tc>
          <w:tcPr>
            <w:tcW w:w="10596" w:type="dxa"/>
            <w:noWrap w:val="0"/>
            <w:vAlign w:val="top"/>
          </w:tcPr>
          <w:p>
            <w:pPr>
              <w:spacing w:line="360" w:lineRule="auto"/>
              <w:ind w:firstLine="420" w:firstLineChars="150"/>
              <w:rPr>
                <w:rFonts w:hint="eastAsia" w:ascii="宋体" w:hAnsi="宋体"/>
                <w:spacing w:val="2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pacing w:val="20"/>
                <w:kern w:val="2"/>
                <w:sz w:val="24"/>
                <w:szCs w:val="22"/>
                <w:lang w:val="en-US" w:eastAsia="zh-CN" w:bidi="ar-SA"/>
              </w:rPr>
              <w:t>2020年3月25日</w:t>
            </w:r>
            <w:r>
              <w:rPr>
                <w:rFonts w:hint="eastAsia" w:ascii="宋体" w:hAnsi="宋体"/>
                <w:spacing w:val="20"/>
                <w:kern w:val="2"/>
                <w:sz w:val="24"/>
                <w:szCs w:val="22"/>
                <w:lang w:val="en-US" w:eastAsia="zh-CN" w:bidi="ar-SA"/>
              </w:rPr>
              <w:t>对公司适用的法律、法规遵守情况进行了评价，结果为对适用的法律、法规均遵守，没有发现违规的现象，二阶段进一步审核。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bookmarkStart w:id="2" w:name="_GoBack"/>
            <w:bookmarkEnd w:id="2"/>
          </w:p>
          <w:p>
            <w:pPr>
              <w:spacing w:line="360" w:lineRule="auto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20"/>
                <w:kern w:val="2"/>
                <w:sz w:val="24"/>
                <w:szCs w:val="22"/>
                <w:lang w:val="en-US" w:eastAsia="zh-CN" w:bidi="ar-SA"/>
              </w:rPr>
              <w:t>公司识别了重要环境因素，并提供《重要环境因素清单</w:t>
            </w:r>
            <w:r>
              <w:rPr>
                <w:rFonts w:hint="eastAsia"/>
                <w:szCs w:val="21"/>
                <w:lang w:eastAsia="zh-CN"/>
              </w:rPr>
              <w:t>》，</w:t>
            </w:r>
            <w:r>
              <w:rPr>
                <w:rFonts w:hint="eastAsia" w:ascii="宋体" w:hAnsi="宋体"/>
                <w:spacing w:val="20"/>
                <w:kern w:val="2"/>
                <w:sz w:val="24"/>
                <w:szCs w:val="22"/>
                <w:lang w:val="en-US" w:eastAsia="zh-CN" w:bidi="ar-SA"/>
              </w:rPr>
              <w:t>提供《重大危险源清单</w:t>
            </w:r>
            <w:r>
              <w:rPr>
                <w:rFonts w:hint="eastAsia"/>
                <w:szCs w:val="21"/>
                <w:lang w:eastAsia="zh-CN"/>
              </w:rPr>
              <w:t>》，</w:t>
            </w:r>
            <w:r>
              <w:rPr>
                <w:rFonts w:hint="eastAsia" w:ascii="宋体" w:hAnsi="宋体"/>
                <w:spacing w:val="20"/>
                <w:kern w:val="2"/>
                <w:sz w:val="24"/>
                <w:szCs w:val="22"/>
                <w:lang w:val="en-US" w:eastAsia="zh-CN" w:bidi="ar-SA"/>
              </w:rPr>
              <w:t>识别了</w:t>
            </w:r>
            <w:r>
              <w:rPr>
                <w:rFonts w:hint="eastAsia" w:ascii="宋体" w:hAnsi="宋体"/>
                <w:color w:val="FF0000"/>
                <w:spacing w:val="20"/>
                <w:kern w:val="2"/>
                <w:sz w:val="24"/>
                <w:szCs w:val="22"/>
                <w:lang w:val="en-US" w:eastAsia="zh-CN" w:bidi="ar-SA"/>
              </w:rPr>
              <w:t>3</w:t>
            </w:r>
            <w:r>
              <w:rPr>
                <w:rFonts w:hint="eastAsia" w:ascii="宋体" w:hAnsi="宋体"/>
                <w:spacing w:val="20"/>
                <w:kern w:val="2"/>
                <w:sz w:val="24"/>
                <w:szCs w:val="22"/>
                <w:lang w:val="en-US" w:eastAsia="zh-CN" w:bidi="ar-SA"/>
              </w:rPr>
              <w:t>项重大危险源。二阶段进一步审核。</w:t>
            </w:r>
          </w:p>
          <w:p>
            <w:pPr>
              <w:rPr>
                <w:rFonts w:hint="eastAsia" w:ascii="宋体" w:hAnsi="宋体"/>
                <w:spacing w:val="2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420" w:firstLineChars="150"/>
              <w:rPr>
                <w:rFonts w:hint="eastAsia" w:ascii="宋体" w:hAnsi="宋体"/>
                <w:spacing w:val="2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pacing w:val="20"/>
                <w:kern w:val="2"/>
                <w:sz w:val="24"/>
                <w:szCs w:val="22"/>
                <w:lang w:val="en-US" w:eastAsia="zh-CN" w:bidi="ar-SA"/>
              </w:rPr>
              <w:t>公司于2020.4.25进行一次内审，提供了内审计划、内审记录、不符合报告、内审报告等，发现了OHSMS：不符合项1项； 共1项不符合项，具体内容，二阶段进一步审核。</w:t>
            </w:r>
          </w:p>
          <w:p>
            <w:pPr>
              <w:spacing w:line="360" w:lineRule="auto"/>
              <w:ind w:firstLine="420" w:firstLineChars="150"/>
              <w:rPr>
                <w:rFonts w:hint="eastAsia" w:ascii="宋体" w:hAnsi="宋体"/>
                <w:spacing w:val="2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pacing w:val="20"/>
                <w:kern w:val="2"/>
                <w:sz w:val="24"/>
                <w:szCs w:val="22"/>
                <w:lang w:val="en-US" w:eastAsia="zh-CN" w:bidi="ar-SA"/>
              </w:rPr>
              <w:t>公司于2020年4月30日在公司会议室召开了2020年度管理评审（质量、环境和职业健康安全）会议。由公司最高管理者</w:t>
            </w:r>
            <w:r>
              <w:rPr>
                <w:rFonts w:hint="eastAsia" w:ascii="宋体" w:hAnsi="宋体"/>
                <w:spacing w:val="20"/>
                <w:sz w:val="24"/>
                <w:lang w:eastAsia="zh-CN"/>
              </w:rPr>
              <w:t>彭桂福</w:t>
            </w:r>
            <w:r>
              <w:rPr>
                <w:rFonts w:hint="eastAsia" w:ascii="宋体" w:hAnsi="宋体"/>
                <w:spacing w:val="20"/>
                <w:kern w:val="2"/>
                <w:sz w:val="24"/>
                <w:szCs w:val="22"/>
                <w:lang w:val="en-US" w:eastAsia="zh-CN" w:bidi="ar-SA"/>
              </w:rPr>
              <w:t>总经理主持，提供管理评审报告，具体内容，二阶段进一步审核。</w:t>
            </w:r>
          </w:p>
          <w:p>
            <w:pPr>
              <w:ind w:firstLine="420" w:firstLineChars="150"/>
              <w:rPr>
                <w:rFonts w:hint="eastAsia" w:ascii="宋体" w:hAnsi="宋体"/>
                <w:spacing w:val="2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ind w:firstLine="420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pacing w:val="20"/>
                <w:kern w:val="2"/>
                <w:sz w:val="24"/>
                <w:szCs w:val="22"/>
                <w:lang w:val="en-US" w:eastAsia="zh-CN" w:bidi="ar-SA"/>
              </w:rPr>
              <w:t>特种设备：无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color w:val="FF0000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0C72FE"/>
    <w:multiLevelType w:val="singleLevel"/>
    <w:tmpl w:val="AD0C72F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1D630B"/>
    <w:rsid w:val="0CE629DC"/>
    <w:rsid w:val="6EC84B44"/>
    <w:rsid w:val="7FC407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表格文字"/>
    <w:basedOn w:val="1"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9</TotalTime>
  <ScaleCrop>false</ScaleCrop>
  <LinksUpToDate>false</LinksUpToDate>
  <CharactersWithSpaces>100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2020-06-16T10:07:55Z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