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20557-2024-EI</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北京四方国际传媒广告有限公司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冯雪峥</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ISC-250120-EI</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诚信管理体系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31950-2023 《企业诚信管理体系 要求》</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2024年07月19日 上午至2024年07月20日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北京市大兴区北兴路（东段）2号院11号楼1层101室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北京市大兴区北兴路（东段）2号院11号楼1层101室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