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合肥耘达餐饮文化管理有限公司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0224-2020-QEOHF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2020-N1QMS-1237424</w:t>
            </w:r>
          </w:p>
          <w:p w:rsidR="009F508A">
            <w:pPr>
              <w:snapToGrid w:val="0"/>
              <w:spacing w:line="320" w:lineRule="exact"/>
              <w:ind w:left="1309"/>
              <w:rPr>
                <w:sz w:val="22"/>
                <w:szCs w:val="22"/>
                <w:highlight w:val="yellow"/>
              </w:rPr>
            </w:pPr>
            <w:r>
              <w:rPr>
                <w:sz w:val="22"/>
                <w:szCs w:val="22"/>
                <w:highlight w:val="yellow"/>
              </w:rPr>
              <w:t>2019-N1FSMS-1237424</w:t>
            </w:r>
          </w:p>
          <w:p w:rsidR="009F508A">
            <w:pPr>
              <w:snapToGrid w:val="0"/>
              <w:spacing w:line="320" w:lineRule="exact"/>
              <w:ind w:left="1309"/>
              <w:rPr>
                <w:sz w:val="22"/>
                <w:szCs w:val="22"/>
                <w:highlight w:val="yellow"/>
              </w:rPr>
            </w:pPr>
            <w:r>
              <w:rPr>
                <w:sz w:val="22"/>
                <w:szCs w:val="22"/>
                <w:highlight w:val="yellow"/>
              </w:rPr>
              <w:t>培训合格</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胡益民</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2020-N0QMS-1263482</w:t>
            </w:r>
          </w:p>
          <w:p w:rsidR="009F508A">
            <w:pPr>
              <w:snapToGrid w:val="0"/>
              <w:spacing w:line="320" w:lineRule="exact"/>
              <w:ind w:left="1309"/>
              <w:rPr>
                <w:sz w:val="22"/>
                <w:szCs w:val="22"/>
                <w:highlight w:val="yellow"/>
              </w:rPr>
            </w:pPr>
            <w:r>
              <w:rPr>
                <w:sz w:val="22"/>
                <w:szCs w:val="22"/>
                <w:highlight w:val="yellow"/>
              </w:rPr>
              <w:t>2020-N0EMS-1263482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李青</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2020-N0QMS-1251569</w:t>
            </w:r>
          </w:p>
          <w:p w:rsidR="009F508A">
            <w:pPr>
              <w:snapToGrid w:val="0"/>
              <w:spacing w:line="320" w:lineRule="exact"/>
              <w:ind w:left="1309"/>
              <w:rPr>
                <w:sz w:val="22"/>
                <w:szCs w:val="22"/>
                <w:highlight w:val="yellow"/>
              </w:rPr>
            </w:pPr>
            <w:r>
              <w:rPr>
                <w:sz w:val="22"/>
                <w:szCs w:val="22"/>
                <w:highlight w:val="yellow"/>
              </w:rPr>
              <w:t>2020-N0EMS-1251569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2017-N1EMS-3047774</w:t>
            </w:r>
          </w:p>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