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960"/>
        <w:gridCol w:w="744"/>
        <w:gridCol w:w="9269"/>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sz w:val="24"/>
                <w:szCs w:val="24"/>
              </w:rPr>
            </w:pPr>
            <w:r>
              <w:rPr>
                <w:rFonts w:hint="eastAsia"/>
                <w:sz w:val="24"/>
                <w:szCs w:val="24"/>
              </w:rPr>
              <w:t>受审核部门：领导层</w:t>
            </w:r>
            <w:r>
              <w:rPr>
                <w:sz w:val="24"/>
                <w:szCs w:val="24"/>
              </w:rPr>
              <w:t xml:space="preserve">    </w:t>
            </w:r>
            <w:r>
              <w:rPr>
                <w:rFonts w:hint="eastAsia"/>
                <w:color w:val="000000" w:themeColor="text1"/>
                <w:sz w:val="24"/>
                <w:szCs w:val="24"/>
              </w:rPr>
              <w:t>陪同人员：</w:t>
            </w:r>
            <w:r>
              <w:rPr>
                <w:rFonts w:hint="eastAsia"/>
                <w:kern w:val="0"/>
                <w:sz w:val="22"/>
              </w:rPr>
              <w:t>吴哲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default" w:eastAsia="宋体"/>
                <w:sz w:val="24"/>
                <w:szCs w:val="24"/>
                <w:lang w:val="en-US" w:eastAsia="zh-CN"/>
              </w:rPr>
            </w:pPr>
            <w:r>
              <w:rPr>
                <w:rFonts w:hint="eastAsia"/>
                <w:sz w:val="24"/>
                <w:szCs w:val="24"/>
              </w:rPr>
              <w:t>审核员： 郝本东、李青</w:t>
            </w:r>
            <w:r>
              <w:rPr>
                <w:rFonts w:hint="eastAsia"/>
                <w:sz w:val="24"/>
                <w:szCs w:val="24"/>
                <w:lang w:eastAsia="zh-CN"/>
              </w:rPr>
              <w:t>（</w:t>
            </w:r>
            <w:r>
              <w:rPr>
                <w:rFonts w:hint="eastAsia"/>
                <w:sz w:val="24"/>
                <w:szCs w:val="24"/>
                <w:lang w:val="en-US" w:eastAsia="zh-CN"/>
              </w:rPr>
              <w:t>仅远程），胡益民</w:t>
            </w:r>
            <w:bookmarkStart w:id="1" w:name="_GoBack"/>
            <w:bookmarkEnd w:id="1"/>
          </w:p>
          <w:p>
            <w:pPr>
              <w:spacing w:before="120"/>
            </w:pPr>
            <w:r>
              <w:rPr>
                <w:rFonts w:hint="eastAsia"/>
                <w:sz w:val="24"/>
                <w:szCs w:val="24"/>
              </w:rPr>
              <w:t>审核日期：2020-06-2（远程）</w:t>
            </w:r>
            <w:r>
              <w:rPr>
                <w:rFonts w:hint="eastAsia"/>
                <w:szCs w:val="22"/>
              </w:rPr>
              <w:t>2020-06-8~11（现场）</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tabs>
                <w:tab w:val="left" w:pos="709"/>
              </w:tabs>
              <w:ind w:right="57"/>
              <w:jc w:val="left"/>
              <w:rPr>
                <w:szCs w:val="21"/>
              </w:rPr>
            </w:pPr>
            <w:r>
              <w:rPr>
                <w:rFonts w:hint="eastAsia"/>
                <w:sz w:val="24"/>
                <w:szCs w:val="24"/>
              </w:rPr>
              <w:t>审核条款：</w:t>
            </w:r>
            <w:r>
              <w:rPr>
                <w:rFonts w:hint="eastAsia"/>
                <w:szCs w:val="21"/>
              </w:rPr>
              <w:t>QMS：</w:t>
            </w:r>
            <w:r>
              <w:rPr>
                <w:rFonts w:hint="eastAsia"/>
                <w:b/>
                <w:bCs/>
                <w:szCs w:val="21"/>
              </w:rPr>
              <w:t xml:space="preserve">4.1 4.2 4.3 4.4 </w:t>
            </w:r>
            <w:r>
              <w:rPr>
                <w:b/>
                <w:bCs/>
                <w:szCs w:val="21"/>
              </w:rPr>
              <w:t>5.1</w:t>
            </w:r>
            <w:r>
              <w:rPr>
                <w:rFonts w:hint="eastAsia"/>
                <w:b/>
                <w:bCs/>
                <w:szCs w:val="21"/>
              </w:rPr>
              <w:t>.1，5.1.2,</w:t>
            </w:r>
            <w:r>
              <w:rPr>
                <w:b/>
                <w:bCs/>
                <w:szCs w:val="21"/>
              </w:rPr>
              <w:t>5.2</w:t>
            </w:r>
            <w:r>
              <w:rPr>
                <w:rFonts w:hint="eastAsia"/>
                <w:b/>
                <w:bCs/>
                <w:szCs w:val="21"/>
              </w:rPr>
              <w:t xml:space="preserve">, </w:t>
            </w:r>
            <w:r>
              <w:rPr>
                <w:b/>
                <w:bCs/>
                <w:szCs w:val="21"/>
              </w:rPr>
              <w:t>5.3</w:t>
            </w:r>
            <w:r>
              <w:rPr>
                <w:rFonts w:hint="eastAsia"/>
                <w:b/>
                <w:bCs/>
                <w:szCs w:val="21"/>
              </w:rPr>
              <w:t>,6.1,6.2，</w:t>
            </w:r>
            <w:r>
              <w:rPr>
                <w:b/>
                <w:bCs/>
                <w:szCs w:val="21"/>
              </w:rPr>
              <w:t>6.3</w:t>
            </w:r>
            <w:r>
              <w:rPr>
                <w:rFonts w:hint="eastAsia"/>
                <w:b/>
                <w:bCs/>
                <w:szCs w:val="21"/>
              </w:rPr>
              <w:t>,</w:t>
            </w:r>
            <w:r>
              <w:rPr>
                <w:b/>
                <w:bCs/>
                <w:szCs w:val="21"/>
              </w:rPr>
              <w:t>7</w:t>
            </w:r>
            <w:r>
              <w:rPr>
                <w:rFonts w:hint="eastAsia"/>
                <w:b/>
                <w:bCs/>
                <w:szCs w:val="21"/>
              </w:rPr>
              <w:t>.1.1,7.1.2,</w:t>
            </w:r>
            <w:r>
              <w:rPr>
                <w:rFonts w:hint="eastAsia"/>
                <w:b/>
                <w:bCs/>
                <w:color w:val="FF0000"/>
                <w:szCs w:val="21"/>
              </w:rPr>
              <w:t>7.1.6</w:t>
            </w:r>
            <w:r>
              <w:rPr>
                <w:rFonts w:hint="eastAsia"/>
                <w:b/>
                <w:bCs/>
                <w:szCs w:val="21"/>
              </w:rPr>
              <w:t>7.3,9.1.1，9.1.3，9.3，10.1,10.3</w:t>
            </w:r>
          </w:p>
          <w:p>
            <w:pPr>
              <w:tabs>
                <w:tab w:val="left" w:pos="709"/>
              </w:tabs>
              <w:ind w:right="57"/>
              <w:jc w:val="left"/>
              <w:rPr>
                <w:szCs w:val="21"/>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理解组织及其环境</w:t>
            </w:r>
          </w:p>
        </w:tc>
        <w:tc>
          <w:tcPr>
            <w:tcW w:w="960" w:type="dxa"/>
            <w:vMerge w:val="restart"/>
          </w:tcPr>
          <w:p>
            <w:r>
              <w:rPr>
                <w:rFonts w:hint="eastAsia"/>
              </w:rPr>
              <w:t xml:space="preserve">Q4.1 </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《公司环境分析控制程序》、</w:t>
            </w:r>
            <w:r>
              <w:rPr>
                <w:rFonts w:hint="eastAsia"/>
              </w:rPr>
              <w:sym w:font="Wingdings" w:char="00FE"/>
            </w:r>
            <w:r>
              <w:rPr>
                <w:rFonts w:hint="eastAsia"/>
              </w:rPr>
              <w:t>管理手册第4.1章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21"/>
              </w:rPr>
            </w:pPr>
            <w:r>
              <w:rPr>
                <w:rFonts w:hint="eastAsia"/>
                <w:color w:val="000000"/>
                <w:szCs w:val="21"/>
              </w:rPr>
              <w:t>与最高管理者沟通：</w:t>
            </w:r>
          </w:p>
          <w:p>
            <w:pPr>
              <w:rPr>
                <w:color w:val="000000"/>
                <w:szCs w:val="21"/>
              </w:rPr>
            </w:pPr>
            <w:r>
              <w:rPr>
                <w:rFonts w:hint="eastAsia"/>
                <w:color w:val="000000"/>
                <w:szCs w:val="21"/>
              </w:rPr>
              <w:t>组织的环境：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7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r>
                    <w:rPr>
                      <w:rFonts w:hint="eastAsia"/>
                    </w:rPr>
                    <w:t>外部环境</w:t>
                  </w:r>
                </w:p>
              </w:tc>
              <w:tc>
                <w:tcPr>
                  <w:tcW w:w="7662"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r>
                    <w:rPr>
                      <w:rFonts w:hint="eastAsia"/>
                    </w:rPr>
                    <w:t>列举主要的内容</w:t>
                  </w:r>
                </w:p>
              </w:tc>
              <w:tc>
                <w:tcPr>
                  <w:tcW w:w="7662" w:type="dxa"/>
                </w:tcPr>
                <w:p>
                  <w:pPr>
                    <w:spacing w:line="360" w:lineRule="auto"/>
                  </w:pPr>
                  <w:r>
                    <w:rPr>
                      <w:rFonts w:hint="eastAsia"/>
                    </w:rPr>
                    <w:t>产品销售淡季与旺季，影响顾客的采购，也间接影响公司产品生产，考虑库存。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r>
                    <w:rPr>
                      <w:rFonts w:hint="eastAsia"/>
                    </w:rPr>
                    <w:t>内部环境</w:t>
                  </w:r>
                </w:p>
              </w:tc>
              <w:tc>
                <w:tcPr>
                  <w:tcW w:w="7662" w:type="dxa"/>
                </w:tcPr>
                <w:p>
                  <w:r>
                    <w:rPr>
                      <w:rFonts w:hint="eastAsia"/>
                    </w:rPr>
                    <w:t xml:space="preserve">☑价值观  ☑文化  ☑知识 ☑绩效 ☑工艺 ☑设备 ☑人员能力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1381" w:type="dxa"/>
                </w:tcPr>
                <w:p>
                  <w:r>
                    <w:rPr>
                      <w:rFonts w:hint="eastAsia"/>
                    </w:rPr>
                    <w:t>列举主要的内容</w:t>
                  </w:r>
                </w:p>
              </w:tc>
              <w:tc>
                <w:tcPr>
                  <w:tcW w:w="7662" w:type="dxa"/>
                </w:tcPr>
                <w:p>
                  <w:r>
                    <w:rPr>
                      <w:rFonts w:hint="eastAsia" w:ascii="宋体" w:hAnsi="宋体"/>
                      <w:szCs w:val="21"/>
                    </w:rPr>
                    <w:t>外来务工人员减少，招工难，用工成本增加。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r>
                    <w:rPr>
                      <w:rFonts w:hint="eastAsia"/>
                      <w:color w:val="000000"/>
                      <w:szCs w:val="21"/>
                    </w:rPr>
                    <w:t>组织优势说明</w:t>
                  </w:r>
                </w:p>
              </w:tc>
              <w:tc>
                <w:tcPr>
                  <w:tcW w:w="7662" w:type="dxa"/>
                </w:tcPr>
                <w:p>
                  <w:pPr>
                    <w:rPr>
                      <w:color w:val="1D41D5"/>
                    </w:rPr>
                  </w:pPr>
                  <w:r>
                    <w:rPr>
                      <w:rFonts w:hint="eastAsia" w:ascii="宋体" w:hAnsi="宋体"/>
                      <w:szCs w:val="21"/>
                    </w:rPr>
                    <w:t>公司负责人从事中药饮片的生产（限资质范围内）多年，加工技术可保持在部分产品的生产销售中处于领先地位</w:t>
                  </w:r>
                  <w:r>
                    <w:rPr>
                      <w:rFonts w:ascii="宋体"/>
                      <w:szCs w:val="21"/>
                    </w:rPr>
                    <w:t>,</w:t>
                  </w:r>
                  <w:r>
                    <w:rPr>
                      <w:rFonts w:hint="eastAsia" w:ascii="宋体" w:hAnsi="宋体"/>
                      <w:szCs w:val="21"/>
                    </w:rPr>
                    <w:t>可以加以利用。本公司对新产品的研发力量强，目前公司有6</w:t>
                  </w:r>
                  <w:r>
                    <w:rPr>
                      <w:rFonts w:ascii="宋体" w:hAnsi="宋体"/>
                      <w:szCs w:val="21"/>
                    </w:rPr>
                    <w:t>00</w:t>
                  </w:r>
                  <w:r>
                    <w:rPr>
                      <w:rFonts w:hint="eastAsia" w:ascii="宋体" w:hAnsi="宋体"/>
                      <w:szCs w:val="21"/>
                    </w:rPr>
                    <w:t>多种不同种类的中药产品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81" w:type="dxa"/>
                </w:tcPr>
                <w:p>
                  <w:r>
                    <w:rPr>
                      <w:rFonts w:hint="eastAsia"/>
                      <w:color w:val="000000"/>
                      <w:szCs w:val="21"/>
                    </w:rPr>
                    <w:t>组织劣势说明</w:t>
                  </w:r>
                </w:p>
              </w:tc>
              <w:tc>
                <w:tcPr>
                  <w:tcW w:w="7662" w:type="dxa"/>
                </w:tcPr>
                <w:p>
                  <w:pPr>
                    <w:rPr>
                      <w:color w:val="000000"/>
                      <w:szCs w:val="21"/>
                    </w:rPr>
                  </w:pPr>
                  <w:r>
                    <w:rPr>
                      <w:rFonts w:hint="eastAsia"/>
                      <w:color w:val="000000"/>
                      <w:szCs w:val="21"/>
                    </w:rPr>
                    <w:t xml:space="preserve">设备老化；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r>
                    <w:rPr>
                      <w:rFonts w:hint="eastAsia"/>
                      <w:color w:val="000000"/>
                      <w:szCs w:val="21"/>
                    </w:rPr>
                    <w:t>主要风险的说明</w:t>
                  </w:r>
                </w:p>
              </w:tc>
              <w:tc>
                <w:tcPr>
                  <w:tcW w:w="7662" w:type="dxa"/>
                </w:tcPr>
                <w:p>
                  <w:pPr>
                    <w:rPr>
                      <w:color w:val="000000"/>
                      <w:szCs w:val="21"/>
                    </w:rPr>
                  </w:pPr>
                  <w:r>
                    <w:rPr>
                      <w:rFonts w:hint="eastAsia"/>
                      <w:color w:val="000000"/>
                      <w:szCs w:val="21"/>
                    </w:rPr>
                    <w:t>新的竞争对手；替代产品增多；市场紧缩；行业政策变化；经济衰退；客户偏好改变；突发事件等。</w:t>
                  </w:r>
                </w:p>
              </w:tc>
            </w:tr>
          </w:tbl>
          <w:p>
            <w:pPr>
              <w:rPr>
                <w:color w:val="000000"/>
                <w:szCs w:val="21"/>
              </w:rPr>
            </w:pPr>
          </w:p>
          <w:p>
            <w:pPr>
              <w:rPr>
                <w:color w:val="000000"/>
                <w:szCs w:val="21"/>
              </w:rPr>
            </w:pPr>
            <w:r>
              <w:rPr>
                <w:rFonts w:hint="eastAsia"/>
                <w:color w:val="000000"/>
                <w:szCs w:val="21"/>
              </w:rPr>
              <w:t>主要证据体现在</w:t>
            </w:r>
            <w:r>
              <w:rPr>
                <w:rFonts w:hint="eastAsia"/>
              </w:rPr>
              <w:t xml:space="preserve"> </w:t>
            </w:r>
            <w:r>
              <w:rPr>
                <w:rFonts w:hint="eastAsia"/>
              </w:rPr>
              <w:sym w:font="Wingdings" w:char="00FE"/>
            </w:r>
            <w:r>
              <w:rPr>
                <w:rFonts w:hint="eastAsia"/>
              </w:rPr>
              <w:t xml:space="preserve">《组织内外部环境因素识别表》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理解相关方的需求和期望</w:t>
            </w:r>
          </w:p>
        </w:tc>
        <w:tc>
          <w:tcPr>
            <w:tcW w:w="960" w:type="dxa"/>
            <w:vMerge w:val="restart"/>
          </w:tcPr>
          <w:p>
            <w:r>
              <w:rPr>
                <w:rFonts w:hint="eastAsia"/>
              </w:rPr>
              <w:t xml:space="preserve">Q4.2 </w:t>
            </w:r>
          </w:p>
        </w:tc>
        <w:tc>
          <w:tcPr>
            <w:tcW w:w="745" w:type="dxa"/>
          </w:tcPr>
          <w:p>
            <w:r>
              <w:rPr>
                <w:rFonts w:hint="eastAsia"/>
              </w:rPr>
              <w:t>文件名称</w:t>
            </w:r>
          </w:p>
        </w:tc>
        <w:tc>
          <w:tcPr>
            <w:tcW w:w="9259" w:type="dxa"/>
          </w:tcPr>
          <w:p>
            <w:r>
              <w:rPr>
                <w:rFonts w:hint="eastAsia"/>
              </w:rPr>
              <w:t>如：</w:t>
            </w:r>
            <w:r>
              <w:rPr>
                <w:rFonts w:hint="eastAsia"/>
              </w:rPr>
              <w:sym w:font="Wingdings" w:char="00A8"/>
            </w:r>
            <w:r>
              <w:rPr>
                <w:rFonts w:hint="eastAsia"/>
              </w:rPr>
              <w:t>《相关方需求和期望控制程序》、</w:t>
            </w:r>
            <w:r>
              <w:rPr>
                <w:rFonts w:hint="eastAsia"/>
              </w:rPr>
              <w:sym w:font="Wingdings" w:char="00FE"/>
            </w:r>
            <w:r>
              <w:rPr>
                <w:rFonts w:hint="eastAsia"/>
              </w:rPr>
              <w:t>管理手册第4.2章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7"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21"/>
              </w:rPr>
            </w:pPr>
            <w:r>
              <w:rPr>
                <w:rFonts w:hint="eastAsia"/>
                <w:color w:val="000000"/>
                <w:szCs w:val="21"/>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3805"/>
              <w:gridCol w:w="3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cyan"/>
                    </w:rPr>
                  </w:pPr>
                  <w:r>
                    <w:rPr>
                      <w:rFonts w:hint="eastAsia"/>
                    </w:rPr>
                    <w:t>重要的相关方</w:t>
                  </w:r>
                </w:p>
              </w:tc>
              <w:tc>
                <w:tcPr>
                  <w:tcW w:w="3805" w:type="dxa"/>
                </w:tcPr>
                <w:p>
                  <w:pPr>
                    <w:rPr>
                      <w:highlight w:val="cyan"/>
                    </w:rPr>
                  </w:pPr>
                  <w:r>
                    <w:rPr>
                      <w:rFonts w:hint="eastAsia"/>
                    </w:rPr>
                    <w:t>相关方名称举例</w:t>
                  </w:r>
                </w:p>
              </w:tc>
              <w:tc>
                <w:tcPr>
                  <w:tcW w:w="3625"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☑主管部门</w:t>
                  </w:r>
                </w:p>
              </w:tc>
              <w:tc>
                <w:tcPr>
                  <w:tcW w:w="3805" w:type="dxa"/>
                  <w:vAlign w:val="top"/>
                </w:tcPr>
                <w:p>
                  <w:r>
                    <w:rPr>
                      <w:rFonts w:hint="eastAsia"/>
                    </w:rPr>
                    <w:t>如亳州市环境保护局</w:t>
                  </w:r>
                </w:p>
              </w:tc>
              <w:tc>
                <w:tcPr>
                  <w:tcW w:w="3625" w:type="dxa"/>
                </w:tcPr>
                <w:p>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☑供方</w:t>
                  </w:r>
                </w:p>
              </w:tc>
              <w:tc>
                <w:tcPr>
                  <w:tcW w:w="3805" w:type="dxa"/>
                  <w:vAlign w:val="top"/>
                </w:tcPr>
                <w:p>
                  <w:r>
                    <w:rPr>
                      <w:rFonts w:hint="eastAsia"/>
                      <w:color w:val="000000" w:themeColor="text1"/>
                    </w:rPr>
                    <w:t>例如：</w:t>
                  </w:r>
                  <w:r>
                    <w:rPr>
                      <w:rFonts w:hint="eastAsia"/>
                      <w:color w:val="000000" w:themeColor="text1"/>
                      <w:lang w:val="en-US" w:eastAsia="zh-CN"/>
                    </w:rPr>
                    <w:t>陕西孙思邈中药股份有限公司</w:t>
                  </w:r>
                </w:p>
              </w:tc>
              <w:tc>
                <w:tcPr>
                  <w:tcW w:w="3625" w:type="dxa"/>
                </w:tcPr>
                <w:p>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☑顾客</w:t>
                  </w:r>
                </w:p>
              </w:tc>
              <w:tc>
                <w:tcPr>
                  <w:tcW w:w="3805" w:type="dxa"/>
                  <w:vAlign w:val="top"/>
                </w:tcPr>
                <w:p>
                  <w:r>
                    <w:rPr>
                      <w:rFonts w:hint="eastAsia"/>
                      <w:color w:val="000000" w:themeColor="text1"/>
                    </w:rPr>
                    <w:t>例如：</w:t>
                  </w:r>
                  <w:r>
                    <w:rPr>
                      <w:rFonts w:hint="eastAsia"/>
                      <w:color w:val="000000" w:themeColor="text1"/>
                      <w:lang w:val="en-US" w:eastAsia="zh-CN"/>
                    </w:rPr>
                    <w:t>江苏省中医院</w:t>
                  </w:r>
                </w:p>
              </w:tc>
              <w:tc>
                <w:tcPr>
                  <w:tcW w:w="3625" w:type="dxa"/>
                </w:tcPr>
                <w:p>
                  <w:r>
                    <w:rPr>
                      <w:rFonts w:hint="eastAsia"/>
                    </w:rPr>
                    <w:t>☑按时按质按量交付产品或服务；</w:t>
                  </w:r>
                </w:p>
                <w:p>
                  <w:r>
                    <w:rPr>
                      <w:rFonts w:hint="eastAsia"/>
                    </w:rPr>
                    <w:t>☑产品/服务质量持续满足要求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□消费者</w:t>
                  </w:r>
                </w:p>
              </w:tc>
              <w:tc>
                <w:tcPr>
                  <w:tcW w:w="3805" w:type="dxa"/>
                  <w:vAlign w:val="top"/>
                </w:tcPr>
                <w:p>
                  <w:r>
                    <w:rPr>
                      <w:rFonts w:hint="eastAsia"/>
                      <w:color w:val="000000" w:themeColor="text1"/>
                    </w:rPr>
                    <w:t>——</w:t>
                  </w:r>
                </w:p>
              </w:tc>
              <w:tc>
                <w:tcPr>
                  <w:tcW w:w="3625" w:type="dxa"/>
                </w:tcPr>
                <w:p>
                  <w:r>
                    <w:rPr>
                      <w:rFonts w:hint="eastAsia"/>
                    </w:rPr>
                    <w:t>□良好的使用感受、持续经营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Cs w:val="24"/>
                    </w:rPr>
                  </w:pPr>
                  <w:r>
                    <w:rPr>
                      <w:rFonts w:hint="eastAsia"/>
                    </w:rPr>
                    <w:t>☑员工</w:t>
                  </w:r>
                </w:p>
              </w:tc>
              <w:tc>
                <w:tcPr>
                  <w:tcW w:w="3805" w:type="dxa"/>
                  <w:vAlign w:val="top"/>
                </w:tcPr>
                <w:p>
                  <w:pPr>
                    <w:rPr>
                      <w:szCs w:val="24"/>
                    </w:rPr>
                  </w:pPr>
                  <w:r>
                    <w:rPr>
                      <w:rFonts w:hint="eastAsia"/>
                      <w:color w:val="000000" w:themeColor="text1"/>
                      <w:szCs w:val="24"/>
                    </w:rPr>
                    <w:t>——</w:t>
                  </w:r>
                </w:p>
              </w:tc>
              <w:tc>
                <w:tcPr>
                  <w:tcW w:w="3625" w:type="dxa"/>
                </w:tcPr>
                <w:p>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☑投资方</w:t>
                  </w:r>
                </w:p>
              </w:tc>
              <w:tc>
                <w:tcPr>
                  <w:tcW w:w="3805" w:type="dxa"/>
                  <w:vAlign w:val="top"/>
                </w:tcPr>
                <w:p>
                  <w:pPr>
                    <w:rPr>
                      <w:color w:val="FF0000"/>
                    </w:rPr>
                  </w:pPr>
                  <w:r>
                    <w:rPr>
                      <w:rFonts w:hint="eastAsia"/>
                      <w:color w:val="000000" w:themeColor="text1"/>
                      <w:lang w:val="en-US" w:eastAsia="zh-CN"/>
                    </w:rPr>
                    <w:t>黄山市徽州医药有限公司</w:t>
                  </w:r>
                </w:p>
              </w:tc>
              <w:tc>
                <w:tcPr>
                  <w:tcW w:w="3625" w:type="dxa"/>
                </w:tcPr>
                <w:p>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□其他</w:t>
                  </w:r>
                </w:p>
              </w:tc>
              <w:tc>
                <w:tcPr>
                  <w:tcW w:w="3805" w:type="dxa"/>
                  <w:vAlign w:val="top"/>
                </w:tcPr>
                <w:p>
                  <w:r>
                    <w:rPr>
                      <w:rFonts w:hint="eastAsia"/>
                    </w:rPr>
                    <w:t>如亳州市芜湖现代产业园区</w:t>
                  </w:r>
                </w:p>
              </w:tc>
              <w:tc>
                <w:tcPr>
                  <w:tcW w:w="3625" w:type="dxa"/>
                </w:tcPr>
                <w:p/>
              </w:tc>
            </w:tr>
          </w:tbl>
          <w:p>
            <w:pPr>
              <w:rPr>
                <w:color w:val="000000"/>
                <w:szCs w:val="21"/>
              </w:rPr>
            </w:pPr>
          </w:p>
          <w:p>
            <w:pPr>
              <w:rPr>
                <w:color w:val="000000"/>
                <w:szCs w:val="21"/>
              </w:rPr>
            </w:pPr>
            <w:r>
              <w:rPr>
                <w:rFonts w:hint="eastAsia"/>
                <w:color w:val="000000"/>
                <w:szCs w:val="21"/>
              </w:rPr>
              <w:t>主要证据体现在</w:t>
            </w:r>
            <w:r>
              <w:rPr>
                <w:rFonts w:hint="eastAsia"/>
              </w:rPr>
              <w:t xml:space="preserve"> </w:t>
            </w:r>
            <w:r>
              <w:rPr>
                <w:rFonts w:hint="eastAsia"/>
              </w:rPr>
              <w:sym w:font="Wingdings" w:char="00FE"/>
            </w:r>
            <w:r>
              <w:rPr>
                <w:rFonts w:hint="eastAsia"/>
              </w:rPr>
              <w:t xml:space="preserve">《相关方及要求与期望清单》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确定质量管理体系的范围</w:t>
            </w:r>
          </w:p>
        </w:tc>
        <w:tc>
          <w:tcPr>
            <w:tcW w:w="960" w:type="dxa"/>
            <w:vMerge w:val="restart"/>
          </w:tcPr>
          <w:p>
            <w:r>
              <w:rPr>
                <w:rFonts w:hint="eastAsia"/>
              </w:rPr>
              <w:t>Q4.3</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管理手册第4.3章和</w:t>
            </w:r>
            <w:r>
              <w:rPr>
                <w:rFonts w:hint="eastAsia"/>
              </w:rPr>
              <w:sym w:font="Wingdings" w:char="00FE"/>
            </w:r>
            <w:r>
              <w:rPr>
                <w:rFonts w:hint="eastAsia"/>
              </w:rPr>
              <w:t>“公司介绍”</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组织应明确相关管理体系的范围；</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7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范围的项目</w:t>
                  </w:r>
                </w:p>
              </w:tc>
              <w:tc>
                <w:tcPr>
                  <w:tcW w:w="7132" w:type="dxa"/>
                </w:tcPr>
                <w:p>
                  <w:r>
                    <w:rPr>
                      <w:rFonts w:hint="eastAsia"/>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tcPr>
                <w:p>
                  <w:r>
                    <w:rPr>
                      <w:rFonts w:hint="eastAsia"/>
                    </w:rPr>
                    <w:t>产品/服务的活动</w:t>
                  </w:r>
                </w:p>
              </w:tc>
              <w:tc>
                <w:tcPr>
                  <w:tcW w:w="7132" w:type="dxa"/>
                </w:tcPr>
                <w:p>
                  <w:r>
                    <w:rPr>
                      <w:rFonts w:hint="eastAsia" w:ascii="宋体" w:hAnsi="宋体"/>
                      <w:color w:val="000000" w:themeColor="text1"/>
                    </w:rPr>
                    <w:t>中药饮片的生产（限资质范围内）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注册地址</w:t>
                  </w:r>
                </w:p>
              </w:tc>
              <w:tc>
                <w:tcPr>
                  <w:tcW w:w="7132" w:type="dxa"/>
                </w:tcPr>
                <w:p>
                  <w:pPr>
                    <w:rPr>
                      <w:rFonts w:ascii="宋体" w:hAnsi="宋体"/>
                      <w:color w:val="000000" w:themeColor="text1"/>
                    </w:rPr>
                  </w:pPr>
                  <w:r>
                    <w:rPr>
                      <w:rFonts w:hint="eastAsia" w:ascii="宋体" w:hAnsi="宋体"/>
                      <w:color w:val="000000" w:themeColor="text1"/>
                    </w:rPr>
                    <w:t>亳州</w:t>
                  </w:r>
                  <w:r>
                    <w:rPr>
                      <w:rFonts w:ascii="宋体" w:hAnsi="宋体"/>
                      <w:color w:val="000000" w:themeColor="text1"/>
                    </w:rPr>
                    <w:t>芜湖现代产业园区茴香路</w:t>
                  </w:r>
                  <w:r>
                    <w:rPr>
                      <w:rFonts w:hint="eastAsia" w:ascii="宋体" w:hAnsi="宋体"/>
                      <w:color w:val="000000" w:themeColor="text1"/>
                    </w:rPr>
                    <w:t>269号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经营地址</w:t>
                  </w:r>
                </w:p>
              </w:tc>
              <w:tc>
                <w:tcPr>
                  <w:tcW w:w="7132" w:type="dxa"/>
                </w:tcPr>
                <w:p>
                  <w:pPr>
                    <w:rPr>
                      <w:rFonts w:ascii="宋体" w:hAnsi="宋体"/>
                      <w:color w:val="000000" w:themeColor="text1"/>
                    </w:rPr>
                  </w:pPr>
                  <w:bookmarkStart w:id="0" w:name="生产地址"/>
                  <w:r>
                    <w:rPr>
                      <w:rFonts w:hint="eastAsia" w:ascii="宋体" w:hAnsi="宋体"/>
                      <w:color w:val="000000" w:themeColor="text1"/>
                    </w:rPr>
                    <w:t>亳州</w:t>
                  </w:r>
                  <w:r>
                    <w:rPr>
                      <w:rFonts w:ascii="宋体" w:hAnsi="宋体"/>
                      <w:color w:val="000000" w:themeColor="text1"/>
                    </w:rPr>
                    <w:t>芜湖现代产业园区茴香路</w:t>
                  </w:r>
                  <w:r>
                    <w:rPr>
                      <w:rFonts w:hint="eastAsia" w:ascii="宋体" w:hAnsi="宋体"/>
                      <w:color w:val="000000" w:themeColor="text1"/>
                    </w:rPr>
                    <w:t>269号</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组织单元（部门/分支）</w:t>
                  </w:r>
                </w:p>
              </w:tc>
              <w:tc>
                <w:tcPr>
                  <w:tcW w:w="7132" w:type="dxa"/>
                </w:tcPr>
                <w:p>
                  <w:r>
                    <w:rPr>
                      <w:rFonts w:hint="eastAsia"/>
                    </w:rPr>
                    <w:sym w:font="Wingdings" w:char="00FE"/>
                  </w:r>
                  <w:r>
                    <w:rPr>
                      <w:rFonts w:hint="eastAsia"/>
                    </w:rPr>
                    <w:t>与组织结构图一致</w:t>
                  </w:r>
                </w:p>
                <w:p>
                  <w:pPr>
                    <w:rPr>
                      <w:u w:val="single"/>
                    </w:rPr>
                  </w:pPr>
                  <w:r>
                    <w:rPr>
                      <w:rFonts w:hint="eastAsia"/>
                    </w:rPr>
                    <w:sym w:font="Wingdings" w:char="00A8"/>
                  </w:r>
                  <w:r>
                    <w:rPr>
                      <w:rFonts w:hint="eastAsia"/>
                    </w:rPr>
                    <w:t xml:space="preserve">分支机构，如： </w:t>
                  </w:r>
                  <w:r>
                    <w:rPr>
                      <w:rFonts w:hint="eastAsia"/>
                      <w:u w:val="single"/>
                    </w:rPr>
                    <w:t xml:space="preserve">                  </w:t>
                  </w:r>
                </w:p>
                <w:p>
                  <w:r>
                    <w:rPr>
                      <w:rFonts w:hint="eastAsia"/>
                    </w:rPr>
                    <w:sym w:font="Wingdings" w:char="00A8"/>
                  </w:r>
                  <w:r>
                    <w:rPr>
                      <w:rFonts w:hint="eastAsia"/>
                    </w:rPr>
                    <w:t xml:space="preserve">临时场所，如：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时间</w:t>
                  </w:r>
                </w:p>
              </w:tc>
              <w:tc>
                <w:tcPr>
                  <w:tcW w:w="7132" w:type="dxa"/>
                </w:tcPr>
                <w:p>
                  <w:r>
                    <w:rPr>
                      <w:rFonts w:hint="eastAsia"/>
                    </w:rPr>
                    <w:sym w:font="Wingdings" w:char="00A8"/>
                  </w:r>
                  <w:r>
                    <w:rPr>
                      <w:rFonts w:hint="eastAsia"/>
                    </w:rPr>
                    <w:t xml:space="preserve"> 体系建立以来</w:t>
                  </w:r>
                </w:p>
                <w:p>
                  <w:r>
                    <w:rPr>
                      <w:rFonts w:hint="eastAsia"/>
                    </w:rPr>
                    <w:sym w:font="Wingdings" w:char="00FE"/>
                  </w:r>
                  <w:r>
                    <w:rPr>
                      <w:rFonts w:hint="eastAsia"/>
                    </w:rPr>
                    <w:t>近一年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rPr>
                      <w:szCs w:val="24"/>
                    </w:rPr>
                  </w:pPr>
                  <w:r>
                    <w:rPr>
                      <w:rFonts w:hint="eastAsia"/>
                    </w:rPr>
                    <w:t>不适用ISO9001的条款</w:t>
                  </w:r>
                </w:p>
              </w:tc>
              <w:tc>
                <w:tcPr>
                  <w:tcW w:w="7132" w:type="dxa"/>
                </w:tcPr>
                <w:p>
                  <w:r>
                    <w:rPr>
                      <w:rFonts w:hint="eastAsia"/>
                    </w:rPr>
                    <w:sym w:font="Wingdings" w:char="00FE"/>
                  </w:r>
                  <w:r>
                    <w:rPr>
                      <w:rFonts w:hint="eastAsia"/>
                    </w:rPr>
                    <w:t>8.3产品和服务的设计和开发</w:t>
                  </w:r>
                </w:p>
                <w:p>
                  <w:r>
                    <w:rPr>
                      <w:rFonts w:hint="eastAsia"/>
                    </w:rPr>
                    <w:sym w:font="Wingdings" w:char="00A8"/>
                  </w:r>
                  <w:r>
                    <w:rPr>
                      <w:rFonts w:hint="eastAsia"/>
                    </w:rPr>
                    <w:t>无不适用条款</w:t>
                  </w:r>
                </w:p>
                <w:p>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rPr>
                      <w:szCs w:val="24"/>
                    </w:rPr>
                  </w:pPr>
                  <w:r>
                    <w:rPr>
                      <w:rFonts w:hint="eastAsia"/>
                    </w:rPr>
                    <w:t>不适用的理由（可多选）</w:t>
                  </w:r>
                </w:p>
              </w:tc>
              <w:tc>
                <w:tcPr>
                  <w:tcW w:w="7132" w:type="dxa"/>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□其他：</w:t>
                  </w:r>
                </w:p>
              </w:tc>
            </w:tr>
          </w:tbl>
          <w:p/>
          <w:p>
            <w:pPr>
              <w:rPr>
                <w:color w:val="000000"/>
                <w:szCs w:val="21"/>
              </w:rPr>
            </w:pPr>
            <w:r>
              <w:rPr>
                <w:rFonts w:hint="eastAsia"/>
                <w:color w:val="000000"/>
                <w:szCs w:val="21"/>
              </w:rPr>
              <w:t>在企业的管理手册中有描述。</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质量管理体系及其过程</w:t>
            </w:r>
          </w:p>
        </w:tc>
        <w:tc>
          <w:tcPr>
            <w:tcW w:w="960" w:type="dxa"/>
            <w:vMerge w:val="restart"/>
          </w:tcPr>
          <w:p>
            <w:r>
              <w:rPr>
                <w:rFonts w:hint="eastAsia"/>
              </w:rPr>
              <w:t xml:space="preserve">Q4.4 </w:t>
            </w:r>
          </w:p>
        </w:tc>
        <w:tc>
          <w:tcPr>
            <w:tcW w:w="745" w:type="dxa"/>
          </w:tcPr>
          <w:p>
            <w:r>
              <w:rPr>
                <w:rFonts w:hint="eastAsia"/>
              </w:rPr>
              <w:t>文件名称</w:t>
            </w:r>
          </w:p>
        </w:tc>
        <w:tc>
          <w:tcPr>
            <w:tcW w:w="9259" w:type="dxa"/>
          </w:tcPr>
          <w:p>
            <w:r>
              <w:rPr>
                <w:rFonts w:hint="eastAsia"/>
              </w:rPr>
              <w:t>如：</w:t>
            </w:r>
            <w:r>
              <w:rPr>
                <w:rFonts w:hint="eastAsia" w:ascii="MS Gothic" w:hAnsi="MS Gothic" w:eastAsia="MS Gothic" w:cs="MS Gothic"/>
              </w:rPr>
              <w:t>☑</w:t>
            </w:r>
            <w:r>
              <w:rPr>
                <w:rFonts w:hint="eastAsia" w:ascii="宋体" w:hAnsi="宋体" w:cs="宋体"/>
              </w:rPr>
              <w:t>管理手册第</w:t>
            </w:r>
            <w:r>
              <w:rPr>
                <w:rFonts w:hint="eastAsia"/>
              </w:rPr>
              <w:t>4.4章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pP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lang w:eastAsia="zh-CN"/>
              </w:rPr>
              <w:t>□</w:t>
            </w:r>
            <w:r>
              <w:rPr>
                <w:rFonts w:hint="eastAsia"/>
              </w:rPr>
              <w:t xml:space="preserve">合同评审□知识保密 </w:t>
            </w:r>
          </w:p>
          <w:p>
            <w:pPr>
              <w:spacing w:before="40" w:after="40"/>
            </w:pPr>
            <w:r>
              <w:rPr>
                <w:rFonts w:hint="eastAsia"/>
              </w:rPr>
              <w:t>□新产品设计开发 ☑交付与服务 ☑外部供方控制 ☑产品制造 □其他</w:t>
            </w:r>
          </w:p>
          <w:p>
            <w:pPr>
              <w:spacing w:before="40" w:after="40"/>
              <w:rPr>
                <w:b/>
                <w:bCs/>
              </w:rPr>
            </w:pP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□新产品设计开发 □原材料订制 □生产/服务过程 □检验检测</w:t>
            </w:r>
            <w:r>
              <w:rPr>
                <w:rFonts w:hint="eastAsia"/>
              </w:rPr>
              <w:sym w:font="Wingdings 2" w:char="0052"/>
            </w:r>
            <w:r>
              <w:rPr>
                <w:rFonts w:hint="eastAsia"/>
              </w:rPr>
              <w:t>产品运输 □设备维修</w:t>
            </w:r>
          </w:p>
          <w:p>
            <w:pPr>
              <w:spacing w:before="40" w:after="40"/>
            </w:pPr>
            <w:r>
              <w:rPr>
                <w:rFonts w:hint="eastAsia"/>
              </w:rPr>
              <w:t>□人员培训 □其他</w:t>
            </w:r>
          </w:p>
          <w:p>
            <w:pPr>
              <w:rPr>
                <w:highlight w:val="cyan"/>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960" w:type="dxa"/>
            <w:vMerge w:val="restart"/>
          </w:tcPr>
          <w:p>
            <w:r>
              <w:rPr>
                <w:rFonts w:hint="eastAsia"/>
              </w:rPr>
              <w:t>Q5.1.1  </w:t>
            </w:r>
          </w:p>
        </w:tc>
        <w:tc>
          <w:tcPr>
            <w:tcW w:w="745" w:type="dxa"/>
          </w:tcPr>
          <w:p>
            <w:r>
              <w:rPr>
                <w:rFonts w:hint="eastAsia"/>
              </w:rPr>
              <w:t>文件名称</w:t>
            </w:r>
          </w:p>
        </w:tc>
        <w:tc>
          <w:tcPr>
            <w:tcW w:w="9259" w:type="dxa"/>
          </w:tcPr>
          <w:p>
            <w:r>
              <w:rPr>
                <w:rFonts w:hint="eastAsia"/>
              </w:rPr>
              <w:t>如：☑管理手册第5.1章和☑“总经理岗位职责”</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21"/>
              </w:rPr>
            </w:pPr>
            <w:r>
              <w:rPr>
                <w:rFonts w:hint="eastAsia"/>
                <w:color w:val="000000"/>
                <w:szCs w:val="21"/>
              </w:rPr>
              <w:t xml:space="preserve"> 与最高管理者沟通其领导作用与承诺：</w:t>
            </w:r>
          </w:p>
          <w:p>
            <w:pPr>
              <w:rPr>
                <w:color w:val="000000"/>
                <w:szCs w:val="21"/>
              </w:rPr>
            </w:pPr>
            <w:r>
              <w:rPr>
                <w:rFonts w:hint="eastAsia"/>
                <w:color w:val="000000"/>
                <w:szCs w:val="21"/>
              </w:rPr>
              <w:sym w:font="Wingdings" w:char="00FE"/>
            </w:r>
            <w:r>
              <w:rPr>
                <w:rFonts w:hint="eastAsia"/>
                <w:color w:val="000000"/>
                <w:szCs w:val="21"/>
              </w:rPr>
              <w:t xml:space="preserve">对质量管理体系的有效性承担责任； </w:t>
            </w:r>
          </w:p>
          <w:p>
            <w:pPr>
              <w:rPr>
                <w:color w:val="000000"/>
                <w:szCs w:val="21"/>
              </w:rPr>
            </w:pPr>
            <w:r>
              <w:rPr>
                <w:rFonts w:hint="eastAsia"/>
                <w:color w:val="000000"/>
                <w:szCs w:val="21"/>
              </w:rPr>
              <w:sym w:font="Wingdings" w:char="00FE"/>
            </w:r>
            <w:r>
              <w:rPr>
                <w:rFonts w:hint="eastAsia"/>
                <w:color w:val="000000"/>
                <w:szCs w:val="21"/>
              </w:rPr>
              <w:t xml:space="preserve">确保制定质量管理体系的质量方针和质量目标，并与组织的环境和战略方向相一致； </w:t>
            </w:r>
          </w:p>
          <w:p>
            <w:pPr>
              <w:rPr>
                <w:color w:val="000000"/>
                <w:szCs w:val="21"/>
              </w:rPr>
            </w:pPr>
            <w:r>
              <w:rPr>
                <w:rFonts w:hint="eastAsia"/>
                <w:color w:val="000000"/>
                <w:szCs w:val="21"/>
              </w:rPr>
              <w:sym w:font="Wingdings" w:char="00FE"/>
            </w:r>
            <w:r>
              <w:rPr>
                <w:rFonts w:hint="eastAsia"/>
                <w:color w:val="000000"/>
                <w:szCs w:val="21"/>
              </w:rPr>
              <w:t xml:space="preserve">确保质量管理体系要求融入组织的业务过程；  </w:t>
            </w:r>
          </w:p>
          <w:p>
            <w:pPr>
              <w:rPr>
                <w:color w:val="000000"/>
                <w:szCs w:val="21"/>
              </w:rPr>
            </w:pPr>
            <w:r>
              <w:rPr>
                <w:rFonts w:hint="eastAsia"/>
                <w:color w:val="000000"/>
                <w:szCs w:val="21"/>
              </w:rPr>
              <w:sym w:font="Wingdings" w:char="00FE"/>
            </w:r>
            <w:r>
              <w:rPr>
                <w:rFonts w:hint="eastAsia"/>
                <w:color w:val="000000"/>
                <w:szCs w:val="21"/>
              </w:rPr>
              <w:t xml:space="preserve">促进使用过程方法和基于风险的思维； </w:t>
            </w:r>
          </w:p>
          <w:p>
            <w:pPr>
              <w:rPr>
                <w:color w:val="000000"/>
                <w:szCs w:val="21"/>
              </w:rPr>
            </w:pPr>
            <w:r>
              <w:rPr>
                <w:rFonts w:hint="eastAsia"/>
                <w:color w:val="000000"/>
                <w:szCs w:val="21"/>
              </w:rPr>
              <w:sym w:font="Wingdings" w:char="00FE"/>
            </w:r>
            <w:r>
              <w:rPr>
                <w:rFonts w:hint="eastAsia"/>
                <w:color w:val="000000"/>
                <w:szCs w:val="21"/>
              </w:rPr>
              <w:t xml:space="preserve">确保质量管理体系所需的资源是可用的； </w:t>
            </w:r>
          </w:p>
          <w:p>
            <w:pPr>
              <w:rPr>
                <w:color w:val="000000"/>
                <w:szCs w:val="21"/>
              </w:rPr>
            </w:pPr>
            <w:r>
              <w:rPr>
                <w:rFonts w:hint="eastAsia"/>
                <w:color w:val="000000"/>
                <w:szCs w:val="21"/>
              </w:rPr>
              <w:sym w:font="Wingdings" w:char="00FE"/>
            </w:r>
            <w:r>
              <w:rPr>
                <w:rFonts w:hint="eastAsia"/>
                <w:color w:val="000000"/>
                <w:szCs w:val="21"/>
              </w:rPr>
              <w:t>沟通有效的质量管理和符合质量管理体系要求的重要性；</w:t>
            </w:r>
          </w:p>
          <w:p>
            <w:pPr>
              <w:rPr>
                <w:color w:val="000000"/>
                <w:szCs w:val="21"/>
              </w:rPr>
            </w:pPr>
            <w:r>
              <w:rPr>
                <w:rFonts w:hint="eastAsia"/>
                <w:color w:val="000000"/>
                <w:szCs w:val="21"/>
              </w:rPr>
              <w:sym w:font="Wingdings" w:char="00FE"/>
            </w:r>
            <w:r>
              <w:rPr>
                <w:rFonts w:hint="eastAsia"/>
                <w:color w:val="000000"/>
                <w:szCs w:val="21"/>
              </w:rPr>
              <w:t>确保质量管理体系实现其预期结果；</w:t>
            </w:r>
          </w:p>
          <w:p>
            <w:pPr>
              <w:rPr>
                <w:color w:val="000000"/>
                <w:szCs w:val="21"/>
              </w:rPr>
            </w:pPr>
            <w:r>
              <w:rPr>
                <w:rFonts w:hint="eastAsia"/>
                <w:color w:val="000000"/>
                <w:szCs w:val="21"/>
              </w:rPr>
              <w:sym w:font="Wingdings" w:char="00FE"/>
            </w:r>
            <w:r>
              <w:rPr>
                <w:rFonts w:hint="eastAsia"/>
                <w:color w:val="000000"/>
                <w:szCs w:val="21"/>
              </w:rPr>
              <w:t>促使员工积极参与、指导和支持他们为质量管理体系的有效性作出贡献；</w:t>
            </w:r>
          </w:p>
          <w:p>
            <w:pPr>
              <w:rPr>
                <w:color w:val="000000"/>
                <w:szCs w:val="21"/>
              </w:rPr>
            </w:pPr>
            <w:r>
              <w:rPr>
                <w:rFonts w:hint="eastAsia"/>
                <w:color w:val="000000"/>
                <w:szCs w:val="21"/>
              </w:rPr>
              <w:sym w:font="Wingdings" w:char="00FE"/>
            </w:r>
            <w:r>
              <w:rPr>
                <w:rFonts w:hint="eastAsia"/>
                <w:color w:val="000000"/>
                <w:szCs w:val="21"/>
              </w:rPr>
              <w:t>推动改进；</w:t>
            </w:r>
          </w:p>
          <w:p>
            <w:pPr>
              <w:rPr>
                <w:color w:val="000000"/>
                <w:szCs w:val="21"/>
              </w:rPr>
            </w:pPr>
            <w:r>
              <w:rPr>
                <w:rFonts w:hint="eastAsia"/>
                <w:color w:val="000000"/>
                <w:szCs w:val="21"/>
              </w:rPr>
              <w:sym w:font="Wingdings" w:char="00FE"/>
            </w:r>
            <w:r>
              <w:rPr>
                <w:rFonts w:hint="eastAsia"/>
                <w:color w:val="000000"/>
                <w:szCs w:val="21"/>
              </w:rPr>
              <w:t>支持其他相关管理者在其职责范围内发挥领导作用。</w:t>
            </w:r>
          </w:p>
          <w:p>
            <w:pPr>
              <w:rPr>
                <w:color w:val="000000"/>
                <w:szCs w:val="21"/>
              </w:rPr>
            </w:pPr>
          </w:p>
          <w:p>
            <w:pPr>
              <w:rPr>
                <w:color w:val="000000"/>
                <w:szCs w:val="21"/>
              </w:rPr>
            </w:pPr>
            <w:r>
              <w:rPr>
                <w:rFonts w:hint="eastAsia"/>
                <w:color w:val="000000"/>
                <w:szCs w:val="21"/>
              </w:rPr>
              <w:sym w:font="Wingdings" w:char="00FE"/>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以顾客为关注焦点</w:t>
            </w:r>
          </w:p>
          <w:p/>
        </w:tc>
        <w:tc>
          <w:tcPr>
            <w:tcW w:w="960" w:type="dxa"/>
            <w:vMerge w:val="restart"/>
          </w:tcPr>
          <w:p>
            <w:r>
              <w:rPr>
                <w:rFonts w:hint="eastAsia"/>
              </w:rPr>
              <w:t>Q5.1.2  </w:t>
            </w:r>
          </w:p>
        </w:tc>
        <w:tc>
          <w:tcPr>
            <w:tcW w:w="745" w:type="dxa"/>
          </w:tcPr>
          <w:p>
            <w:r>
              <w:rPr>
                <w:rFonts w:hint="eastAsia"/>
              </w:rPr>
              <w:t>文件名称</w:t>
            </w:r>
          </w:p>
        </w:tc>
        <w:tc>
          <w:tcPr>
            <w:tcW w:w="9259" w:type="dxa"/>
          </w:tcPr>
          <w:p>
            <w:r>
              <w:rPr>
                <w:rFonts w:hint="eastAsia"/>
              </w:rPr>
              <w:t>如：☑管理手册第5.1章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21"/>
              </w:rPr>
            </w:pPr>
            <w:r>
              <w:rPr>
                <w:rFonts w:hint="eastAsia"/>
                <w:color w:val="000000"/>
                <w:szCs w:val="21"/>
              </w:rPr>
              <w:t xml:space="preserve"> 最高管理者证实其以顾客为关注焦点的领导作用和承诺：</w:t>
            </w:r>
          </w:p>
          <w:p>
            <w:pPr>
              <w:rPr>
                <w:color w:val="000000"/>
                <w:szCs w:val="21"/>
              </w:rPr>
            </w:pPr>
            <w:r>
              <w:rPr>
                <w:rFonts w:hint="eastAsia"/>
              </w:rPr>
              <w:t>☑</w:t>
            </w:r>
            <w:r>
              <w:rPr>
                <w:rFonts w:hint="eastAsia"/>
                <w:color w:val="000000"/>
                <w:szCs w:val="21"/>
              </w:rPr>
              <w:t xml:space="preserve">确定、理解并持续地满足顾客要求以及适用的法律法规要求； </w:t>
            </w:r>
          </w:p>
          <w:p>
            <w:pPr>
              <w:rPr>
                <w:color w:val="000000"/>
                <w:szCs w:val="21"/>
              </w:rPr>
            </w:pPr>
            <w:r>
              <w:rPr>
                <w:rFonts w:hint="eastAsia"/>
              </w:rPr>
              <w:t>☑</w:t>
            </w:r>
            <w:r>
              <w:rPr>
                <w:rFonts w:hint="eastAsia"/>
                <w:color w:val="000000"/>
                <w:szCs w:val="21"/>
              </w:rPr>
              <w:t xml:space="preserve">确定和应对能够影响产品和服务的符合性以及增强顾客满意能力的风险和机遇； </w:t>
            </w:r>
          </w:p>
          <w:p>
            <w:pPr>
              <w:rPr>
                <w:color w:val="000000"/>
                <w:szCs w:val="21"/>
              </w:rPr>
            </w:pPr>
            <w:r>
              <w:rPr>
                <w:rFonts w:hint="eastAsia"/>
              </w:rPr>
              <w:t>☑</w:t>
            </w:r>
            <w:r>
              <w:rPr>
                <w:rFonts w:hint="eastAsia"/>
                <w:color w:val="000000"/>
                <w:szCs w:val="21"/>
              </w:rPr>
              <w:t xml:space="preserve">始终致力于增强顾客满意。 </w:t>
            </w:r>
          </w:p>
          <w:p>
            <w:pPr>
              <w:rPr>
                <w:color w:val="000000"/>
                <w:szCs w:val="21"/>
              </w:rPr>
            </w:pPr>
            <w:r>
              <w:rPr>
                <w:rFonts w:hint="eastAsia"/>
              </w:rPr>
              <w:t>通过的方式——</w:t>
            </w:r>
          </w:p>
          <w:p>
            <w:r>
              <w:rPr>
                <w:rFonts w:hint="eastAsia"/>
                <w:color w:val="000000"/>
                <w:szCs w:val="21"/>
              </w:rPr>
              <w:t xml:space="preserve"> </w:t>
            </w:r>
            <w:r>
              <w:rPr>
                <w:rFonts w:hint="eastAsia"/>
              </w:rPr>
              <w:t>☑以身作则 ☑建立机制 ☑法规宣传 ☑风险机遇的应对 ☑重视顾客反馈 ☑目标考核 □其他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2160" w:type="dxa"/>
            <w:vMerge w:val="restart"/>
          </w:tcPr>
          <w:p>
            <w:r>
              <w:rPr>
                <w:rFonts w:hint="eastAsia"/>
              </w:rPr>
              <w:t>方针</w:t>
            </w:r>
          </w:p>
        </w:tc>
        <w:tc>
          <w:tcPr>
            <w:tcW w:w="960" w:type="dxa"/>
            <w:vMerge w:val="restart"/>
          </w:tcPr>
          <w:p>
            <w:r>
              <w:rPr>
                <w:rFonts w:hint="eastAsia"/>
              </w:rPr>
              <w:t>Q5.2  </w:t>
            </w:r>
          </w:p>
        </w:tc>
        <w:tc>
          <w:tcPr>
            <w:tcW w:w="745" w:type="dxa"/>
          </w:tcPr>
          <w:p>
            <w:r>
              <w:rPr>
                <w:rFonts w:hint="eastAsia"/>
              </w:rPr>
              <w:t>文件名称</w:t>
            </w:r>
          </w:p>
        </w:tc>
        <w:tc>
          <w:tcPr>
            <w:tcW w:w="9259" w:type="dxa"/>
          </w:tcPr>
          <w:p>
            <w:r>
              <w:rPr>
                <w:rFonts w:hint="eastAsia"/>
              </w:rPr>
              <w:t>如：☑管理手册第5.2章 ☑质量方针</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rFonts w:hint="eastAsia"/>
              </w:rPr>
            </w:pPr>
            <w:r>
              <w:rPr>
                <w:rFonts w:hint="eastAsia"/>
                <w:color w:val="000000"/>
                <w:szCs w:val="21"/>
              </w:rPr>
              <w:t xml:space="preserve"> </w:t>
            </w:r>
            <w:r>
              <w:rPr>
                <w:rFonts w:hint="eastAsia"/>
              </w:rPr>
              <w:t>最高管理者制定了文件化的管理体系方针：</w:t>
            </w:r>
          </w:p>
          <w:p>
            <w:pPr>
              <w:rPr>
                <w:b/>
                <w:u w:val="single"/>
              </w:rPr>
            </w:pPr>
            <w:r>
              <w:rPr>
                <w:rFonts w:hint="eastAsia"/>
                <w:b/>
                <w:u w:val="single"/>
              </w:rPr>
              <w:t>质量第一 诚信为本 精益求精 不断创新 遵纪守法 节能降耗 预防污染 持续改进 消除隐患 保障安全</w:t>
            </w:r>
          </w:p>
          <w:p>
            <w:pPr>
              <w:rPr>
                <w:b/>
                <w:bCs/>
                <w:szCs w:val="22"/>
              </w:rPr>
            </w:pPr>
            <w:r>
              <w:rPr>
                <w:rFonts w:hint="eastAsia"/>
                <w:b/>
                <w:bCs/>
                <w:szCs w:val="22"/>
              </w:rPr>
              <w:t xml:space="preserve">                                           </w:t>
            </w:r>
          </w:p>
          <w:p>
            <w:r>
              <w:rPr>
                <w:rFonts w:hint="eastAsia"/>
              </w:rPr>
              <w:t>☑适应组织的宗旨和环境并支持其战略方向</w:t>
            </w:r>
          </w:p>
          <w:p>
            <w:pPr>
              <w:rPr>
                <w:lang w:val="en-GB"/>
              </w:rPr>
            </w:pPr>
            <w:r>
              <w:rPr>
                <w:rFonts w:hint="eastAsia"/>
              </w:rPr>
              <w:t>☑</w:t>
            </w:r>
            <w:r>
              <w:rPr>
                <w:rFonts w:hint="eastAsia"/>
                <w:lang w:val="en-GB"/>
              </w:rPr>
              <w:t>质量方针合理恰当并为相应的质量目标提供了框架。</w:t>
            </w:r>
          </w:p>
          <w:p>
            <w:r>
              <w:rPr>
                <w:rFonts w:hint="eastAsia"/>
              </w:rPr>
              <w:t xml:space="preserve">☑包括满足适用要求的承诺； </w:t>
            </w:r>
          </w:p>
          <w:p>
            <w:pPr>
              <w:rPr>
                <w:lang w:val="en-GB"/>
              </w:rPr>
            </w:pPr>
            <w:r>
              <w:rPr>
                <w:rFonts w:hint="eastAsia"/>
              </w:rPr>
              <w:t>☑包括持续改进质量管理体系的承诺</w:t>
            </w:r>
          </w:p>
          <w:p>
            <w:r>
              <w:rPr>
                <w:rFonts w:hint="eastAsia"/>
              </w:rPr>
              <w:t>☑在组织内得到沟通、理解和应用，通过：</w:t>
            </w:r>
            <w:r>
              <w:rPr>
                <w:rFonts w:hint="eastAsia"/>
              </w:rPr>
              <w:sym w:font="Wingdings" w:char="00FE"/>
            </w:r>
            <w:r>
              <w:rPr>
                <w:rFonts w:hint="eastAsia"/>
              </w:rPr>
              <w:t xml:space="preserve">展板  </w:t>
            </w:r>
            <w:r>
              <w:rPr>
                <w:rFonts w:hint="eastAsia"/>
              </w:rPr>
              <w:sym w:font="Wingdings" w:char="00FE"/>
            </w:r>
            <w:r>
              <w:rPr>
                <w:rFonts w:hint="eastAsia"/>
              </w:rPr>
              <w:t xml:space="preserve">标语  </w:t>
            </w:r>
            <w:r>
              <w:rPr>
                <w:rFonts w:hint="eastAsia"/>
              </w:rPr>
              <w:sym w:font="Wingdings" w:char="00FE"/>
            </w:r>
            <w:r>
              <w:rPr>
                <w:rFonts w:hint="eastAsia"/>
              </w:rPr>
              <w:t xml:space="preserve">会议  </w:t>
            </w:r>
            <w:r>
              <w:rPr>
                <w:rFonts w:hint="eastAsia"/>
              </w:rPr>
              <w:sym w:font="Wingdings" w:char="00FE"/>
            </w:r>
            <w:r>
              <w:rPr>
                <w:rFonts w:hint="eastAsia"/>
              </w:rPr>
              <w:t xml:space="preserve">文件发放   </w:t>
            </w:r>
            <w:r>
              <w:rPr>
                <w:rFonts w:hint="eastAsia"/>
              </w:rPr>
              <w:sym w:font="Wingdings" w:char="00A8"/>
            </w:r>
            <w:r>
              <w:rPr>
                <w:rFonts w:hint="eastAsia"/>
              </w:rPr>
              <w:t xml:space="preserve">其他  </w:t>
            </w:r>
          </w:p>
          <w:p>
            <w:r>
              <w:rPr>
                <w:rFonts w:hint="eastAsia"/>
              </w:rPr>
              <w:t>☑在相关方有需要时提供。通过：</w:t>
            </w:r>
            <w:r>
              <w:rPr>
                <w:rFonts w:hint="eastAsia"/>
              </w:rPr>
              <w:sym w:font="Wingdings" w:char="00FE"/>
            </w:r>
            <w:r>
              <w:rPr>
                <w:rFonts w:hint="eastAsia"/>
              </w:rPr>
              <w:t xml:space="preserve">网站 </w:t>
            </w:r>
            <w:r>
              <w:rPr>
                <w:rFonts w:hint="eastAsia"/>
              </w:rPr>
              <w:sym w:font="Wingdings" w:char="00FE"/>
            </w:r>
            <w:r>
              <w:rPr>
                <w:rFonts w:hint="eastAsia"/>
              </w:rPr>
              <w:t xml:space="preserve">宣传册 </w:t>
            </w:r>
            <w:r>
              <w:rPr>
                <w:rFonts w:hint="eastAsia"/>
              </w:rPr>
              <w:sym w:font="Wingdings" w:char="00A8"/>
            </w:r>
            <w:r>
              <w:rPr>
                <w:rFonts w:hint="eastAsi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2160" w:type="dxa"/>
            <w:vMerge w:val="restart"/>
          </w:tcPr>
          <w:p>
            <w:r>
              <w:rPr>
                <w:rFonts w:hint="eastAsia"/>
              </w:rPr>
              <w:t>组织的岗位、职责和权限</w:t>
            </w:r>
          </w:p>
          <w:p/>
        </w:tc>
        <w:tc>
          <w:tcPr>
            <w:tcW w:w="960" w:type="dxa"/>
            <w:vMerge w:val="restart"/>
          </w:tcPr>
          <w:p>
            <w:r>
              <w:rPr>
                <w:rFonts w:hint="eastAsia"/>
              </w:rPr>
              <w:t>Q5.3  </w:t>
            </w:r>
          </w:p>
        </w:tc>
        <w:tc>
          <w:tcPr>
            <w:tcW w:w="745" w:type="dxa"/>
          </w:tcPr>
          <w:p>
            <w:r>
              <w:rPr>
                <w:rFonts w:hint="eastAsia"/>
              </w:rPr>
              <w:t>文件名称</w:t>
            </w:r>
          </w:p>
        </w:tc>
        <w:tc>
          <w:tcPr>
            <w:tcW w:w="9259" w:type="dxa"/>
          </w:tcPr>
          <w:p>
            <w:r>
              <w:rPr>
                <w:rFonts w:hint="eastAsia"/>
              </w:rPr>
              <w:t>如：☑管理手册第5.3章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最高管理者确定了组织架构及相关岗位的职责、权限，并进行了全员的沟通和理解；</w:t>
            </w:r>
          </w:p>
          <w:p>
            <w:r>
              <w:rPr>
                <w:rFonts w:hint="eastAsia"/>
              </w:rPr>
              <w:t>如：</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过程名称</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质量管理体系策划</w:t>
                  </w:r>
                </w:p>
              </w:tc>
              <w:tc>
                <w:tcPr>
                  <w:tcW w:w="2261" w:type="dxa"/>
                </w:tcPr>
                <w:p>
                  <w:pPr>
                    <w:rPr>
                      <w:rFonts w:hint="eastAsia" w:eastAsia="宋体"/>
                      <w:lang w:eastAsia="zh-CN"/>
                    </w:rPr>
                  </w:pPr>
                  <w:r>
                    <w:rPr>
                      <w:rFonts w:hint="eastAsia"/>
                      <w:lang w:eastAsia="zh-CN"/>
                    </w:rPr>
                    <w:t>质量部</w:t>
                  </w:r>
                </w:p>
              </w:tc>
              <w:tc>
                <w:tcPr>
                  <w:tcW w:w="2261" w:type="dxa"/>
                </w:tcPr>
                <w:p>
                  <w:r>
                    <w:rPr>
                      <w:rFonts w:hint="eastAsia"/>
                    </w:rPr>
                    <w:t>合同评审过程</w:t>
                  </w:r>
                </w:p>
              </w:tc>
              <w:tc>
                <w:tcPr>
                  <w:tcW w:w="2261" w:type="dxa"/>
                </w:tcPr>
                <w:p>
                  <w:r>
                    <w:rPr>
                      <w:rFonts w:hint="eastAsia"/>
                    </w:rPr>
                    <w:t>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人力资源过程</w:t>
                  </w:r>
                </w:p>
              </w:tc>
              <w:tc>
                <w:tcPr>
                  <w:tcW w:w="2261" w:type="dxa"/>
                </w:tcPr>
                <w:p>
                  <w:r>
                    <w:rPr>
                      <w:rFonts w:hint="eastAsia"/>
                    </w:rPr>
                    <w:t>行政部</w:t>
                  </w:r>
                </w:p>
              </w:tc>
              <w:tc>
                <w:tcPr>
                  <w:tcW w:w="2261" w:type="dxa"/>
                </w:tcPr>
                <w:p>
                  <w:r>
                    <w:rPr>
                      <w:rFonts w:hint="eastAsia"/>
                    </w:rPr>
                    <w:t>不合格品控制过程</w:t>
                  </w:r>
                </w:p>
              </w:tc>
              <w:tc>
                <w:tcPr>
                  <w:tcW w:w="2261" w:type="dxa"/>
                </w:tcPr>
                <w:p>
                  <w:pPr>
                    <w:rPr>
                      <w:rFonts w:hint="eastAsia" w:eastAsia="宋体"/>
                      <w:lang w:eastAsia="zh-CN"/>
                    </w:rPr>
                  </w:pPr>
                  <w:r>
                    <w:rPr>
                      <w:rFonts w:hint="eastAsia"/>
                      <w:lang w:eastAsia="zh-CN"/>
                    </w:rPr>
                    <w:t>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产品制造过程</w:t>
                  </w:r>
                </w:p>
              </w:tc>
              <w:tc>
                <w:tcPr>
                  <w:tcW w:w="2261" w:type="dxa"/>
                </w:tcPr>
                <w:p>
                  <w:r>
                    <w:rPr>
                      <w:rFonts w:hint="eastAsia"/>
                    </w:rPr>
                    <w:t>生产部</w:t>
                  </w:r>
                </w:p>
              </w:tc>
              <w:tc>
                <w:tcPr>
                  <w:tcW w:w="2261" w:type="dxa"/>
                </w:tcPr>
                <w:p/>
              </w:tc>
              <w:tc>
                <w:tcPr>
                  <w:tcW w:w="2261" w:type="dxa"/>
                </w:tcPr>
                <w:p>
                  <w:pPr>
                    <w:rPr>
                      <w:color w:val="FF0000"/>
                    </w:rPr>
                  </w:p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应对风险和机遇的措施</w:t>
            </w:r>
          </w:p>
          <w:p/>
        </w:tc>
        <w:tc>
          <w:tcPr>
            <w:tcW w:w="960" w:type="dxa"/>
            <w:vMerge w:val="restart"/>
          </w:tcPr>
          <w:p>
            <w:r>
              <w:rPr>
                <w:rFonts w:hint="eastAsia"/>
                <w:color w:val="000000"/>
                <w:szCs w:val="21"/>
              </w:rPr>
              <w:t>Q6.1  </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w:t>
            </w:r>
            <w:r>
              <w:rPr>
                <w:rFonts w:hint="eastAsia"/>
                <w:color w:val="000000"/>
                <w:szCs w:val="21"/>
              </w:rPr>
              <w:t>风险与机遇</w:t>
            </w:r>
            <w:r>
              <w:rPr>
                <w:rFonts w:hint="eastAsia"/>
              </w:rPr>
              <w:t>控制程序》、</w:t>
            </w:r>
            <w:r>
              <w:rPr>
                <w:rFonts w:hint="eastAsia"/>
              </w:rPr>
              <w:sym w:font="Wingdings" w:char="00FE"/>
            </w:r>
            <w:r>
              <w:rPr>
                <w:rFonts w:hint="eastAsia"/>
              </w:rPr>
              <w:t>管理手册第6.1条款、《</w:t>
            </w:r>
            <w:r>
              <w:rPr>
                <w:rFonts w:hint="eastAsia"/>
                <w:color w:val="000000"/>
                <w:szCs w:val="21"/>
              </w:rPr>
              <w:t>风险和机遇评估分析表</w:t>
            </w:r>
            <w:r>
              <w:rPr>
                <w:rFonts w:hint="eastAsia"/>
              </w:rPr>
              <w:t>》</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分析风险的方法：</w:t>
            </w:r>
            <w:r>
              <w:rPr>
                <w:rFonts w:hint="eastAsia"/>
              </w:rPr>
              <w:sym w:font="Wingdings" w:char="00A8"/>
            </w:r>
            <w:r>
              <w:rPr>
                <w:rFonts w:hint="eastAsia"/>
              </w:rPr>
              <w:t>头脑风暴法</w:t>
            </w:r>
            <w:r>
              <w:rPr>
                <w:rFonts w:hint="eastAsia"/>
              </w:rPr>
              <w:sym w:font="Wingdings" w:char="00FE"/>
            </w:r>
            <w:r>
              <w:rPr>
                <w:rFonts w:hint="eastAsia"/>
              </w:rPr>
              <w:t>FMEA（潜在失效模式分析）</w:t>
            </w:r>
            <w:r>
              <w:rPr>
                <w:rFonts w:hint="eastAsia"/>
              </w:rPr>
              <w:sym w:font="Wingdings" w:char="00A8"/>
            </w:r>
            <w:r>
              <w:rPr>
                <w:rFonts w:hint="eastAsia"/>
              </w:rPr>
              <w:t>其他</w:t>
            </w:r>
          </w:p>
          <w:p/>
          <w:p>
            <w:r>
              <w:rPr>
                <w:rFonts w:hint="eastAsia"/>
              </w:rPr>
              <w:t xml:space="preserve">应对风险的措施类型包括： </w:t>
            </w:r>
          </w:p>
          <w:p>
            <w:r>
              <w:rPr>
                <w:rFonts w:hint="eastAsia"/>
              </w:rPr>
              <w:sym w:font="Wingdings" w:char="00FE"/>
            </w:r>
            <w:r>
              <w:rPr>
                <w:rFonts w:hint="eastAsia"/>
              </w:rPr>
              <w:t xml:space="preserve">规避风险 </w:t>
            </w:r>
            <w:r>
              <w:rPr>
                <w:rFonts w:hint="eastAsia"/>
              </w:rPr>
              <w:sym w:font="Wingdings" w:char="00FE"/>
            </w:r>
            <w:r>
              <w:rPr>
                <w:rFonts w:hint="eastAsia"/>
              </w:rPr>
              <w:t>为寻求机遇承担风险、</w:t>
            </w:r>
            <w:r>
              <w:rPr>
                <w:rFonts w:hint="eastAsia"/>
              </w:rPr>
              <w:sym w:font="Wingdings" w:char="00FE"/>
            </w:r>
            <w:r>
              <w:rPr>
                <w:rFonts w:hint="eastAsia"/>
              </w:rPr>
              <w:t xml:space="preserve">消除风险源 </w:t>
            </w:r>
            <w:r>
              <w:rPr>
                <w:rFonts w:hint="eastAsia"/>
              </w:rPr>
              <w:sym w:font="Wingdings" w:char="00FE"/>
            </w:r>
            <w:r>
              <w:rPr>
                <w:rFonts w:hint="eastAsia"/>
              </w:rPr>
              <w:t>改变风险的可能性和后果、</w:t>
            </w:r>
            <w:r>
              <w:rPr>
                <w:rFonts w:hint="eastAsia"/>
              </w:rPr>
              <w:sym w:font="Wingdings" w:char="00FE"/>
            </w:r>
            <w:r>
              <w:rPr>
                <w:rFonts w:hint="eastAsia"/>
              </w:rPr>
              <w:t xml:space="preserve">分担风险 </w:t>
            </w:r>
            <w:r>
              <w:rPr>
                <w:rFonts w:hint="eastAsia"/>
              </w:rPr>
              <w:sym w:font="Wingdings" w:char="00FE"/>
            </w:r>
            <w:r>
              <w:rPr>
                <w:rFonts w:hint="eastAsia"/>
              </w:rPr>
              <w:t xml:space="preserve">通过信息充分的决策而保留风险 </w:t>
            </w:r>
            <w:r>
              <w:rPr>
                <w:rFonts w:hint="eastAsia"/>
              </w:rPr>
              <w:sym w:font="Wingdings" w:char="00A8"/>
            </w:r>
            <w:r>
              <w:rPr>
                <w:rFonts w:hint="eastAsia"/>
              </w:rPr>
              <w:t>其他</w:t>
            </w:r>
          </w:p>
          <w:p/>
          <w:p>
            <w:r>
              <w:rPr>
                <w:rFonts w:hint="eastAsia"/>
              </w:rPr>
              <w:t xml:space="preserve">列举2~3项应对主要风险的描述：  </w:t>
            </w:r>
          </w:p>
          <w:p>
            <w:r>
              <w:rPr>
                <w:rFonts w:hint="eastAsia"/>
              </w:rPr>
              <w:t xml:space="preserve">       </w:t>
            </w:r>
          </w:p>
          <w:tbl>
            <w:tblPr>
              <w:tblStyle w:val="8"/>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415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49" w:type="dxa"/>
                </w:tcPr>
                <w:p>
                  <w:r>
                    <w:rPr>
                      <w:rFonts w:hint="eastAsia"/>
                    </w:rPr>
                    <w:t>主要的风险描述</w:t>
                  </w:r>
                </w:p>
              </w:tc>
              <w:tc>
                <w:tcPr>
                  <w:tcW w:w="4156"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Pr>
                <w:p>
                  <w:pPr>
                    <w:rPr>
                      <w:highlight w:val="cyan"/>
                    </w:rPr>
                  </w:pPr>
                  <w:r>
                    <w:rPr>
                      <w:rFonts w:hint="eastAsia" w:ascii="宋体" w:hAnsi="宋体"/>
                      <w:color w:val="000000"/>
                    </w:rPr>
                    <w:t>新来的员工不熟悉相应的工作流程，可能影响服务的质量，造成顾客投诉。</w:t>
                  </w:r>
                </w:p>
              </w:tc>
              <w:tc>
                <w:tcPr>
                  <w:tcW w:w="4156" w:type="dxa"/>
                </w:tcPr>
                <w:p>
                  <w:pPr>
                    <w:rPr>
                      <w:highlight w:val="cyan"/>
                    </w:rPr>
                  </w:pPr>
                  <w:r>
                    <w:rPr>
                      <w:rFonts w:hint="eastAsia" w:ascii="宋体" w:hAnsi="宋体"/>
                      <w:bCs/>
                      <w:color w:val="000000"/>
                    </w:rPr>
                    <w:t>加强对新招聘服务人员技能的培训</w:t>
                  </w:r>
                </w:p>
              </w:tc>
              <w:tc>
                <w:tcPr>
                  <w:tcW w:w="1717" w:type="dxa"/>
                </w:tcPr>
                <w:p>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Pr>
                <w:p>
                  <w:pPr>
                    <w:rPr>
                      <w:szCs w:val="24"/>
                    </w:rPr>
                  </w:pPr>
                  <w:r>
                    <w:rPr>
                      <w:rFonts w:hint="eastAsia" w:ascii="宋体" w:hAnsi="宋体"/>
                    </w:rPr>
                    <w:t>采购产品过程验收人员工作疏忽，造成销售产品质量不合格，顾客不满或投诉</w:t>
                  </w:r>
                </w:p>
              </w:tc>
              <w:tc>
                <w:tcPr>
                  <w:tcW w:w="4156" w:type="dxa"/>
                </w:tcPr>
                <w:p>
                  <w:r>
                    <w:rPr>
                      <w:rFonts w:hint="eastAsia" w:ascii="宋体" w:hAnsi="宋体"/>
                    </w:rPr>
                    <w:t>加强质量检查人员培训和要求</w:t>
                  </w:r>
                </w:p>
              </w:tc>
              <w:tc>
                <w:tcPr>
                  <w:tcW w:w="1717" w:type="dxa"/>
                </w:tcPr>
                <w:p>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Pr>
                <w:p>
                  <w:pPr>
                    <w:numPr>
                      <w:ilvl w:val="0"/>
                      <w:numId w:val="1"/>
                    </w:numPr>
                    <w:adjustRightInd w:val="0"/>
                    <w:snapToGrid w:val="0"/>
                    <w:rPr>
                      <w:rFonts w:ascii="宋体" w:hAnsi="宋体"/>
                      <w:bCs/>
                      <w:color w:val="000000"/>
                    </w:rPr>
                  </w:pPr>
                  <w:r>
                    <w:rPr>
                      <w:rFonts w:hint="eastAsia" w:ascii="宋体" w:hAnsi="宋体"/>
                      <w:bCs/>
                      <w:color w:val="000000"/>
                    </w:rPr>
                    <w:t>供应商供货质量不合格，退换货耽误时间，延误合同交期。</w:t>
                  </w:r>
                </w:p>
                <w:p>
                  <w:pPr>
                    <w:jc w:val="left"/>
                    <w:rPr>
                      <w:szCs w:val="24"/>
                    </w:rPr>
                  </w:pPr>
                  <w:r>
                    <w:rPr>
                      <w:rFonts w:hint="eastAsia" w:ascii="宋体" w:hAnsi="宋体"/>
                      <w:bCs/>
                      <w:color w:val="000000"/>
                    </w:rPr>
                    <w:t>2、供应商未按期交货，延误合同交期误。</w:t>
                  </w:r>
                </w:p>
              </w:tc>
              <w:tc>
                <w:tcPr>
                  <w:tcW w:w="4156" w:type="dxa"/>
                </w:tcPr>
                <w:p>
                  <w:pPr>
                    <w:numPr>
                      <w:ilvl w:val="0"/>
                      <w:numId w:val="2"/>
                    </w:numPr>
                    <w:adjustRightInd w:val="0"/>
                    <w:snapToGrid w:val="0"/>
                    <w:rPr>
                      <w:rFonts w:ascii="宋体" w:hAnsi="宋体"/>
                      <w:bCs/>
                      <w:color w:val="000000"/>
                    </w:rPr>
                  </w:pPr>
                  <w:r>
                    <w:rPr>
                      <w:rFonts w:hint="eastAsia" w:ascii="宋体" w:hAnsi="宋体"/>
                      <w:bCs/>
                      <w:color w:val="000000"/>
                    </w:rPr>
                    <w:t>供方定期评审；采购合同中明确质量要求；</w:t>
                  </w:r>
                </w:p>
                <w:p>
                  <w:pPr>
                    <w:numPr>
                      <w:ilvl w:val="0"/>
                      <w:numId w:val="2"/>
                    </w:numPr>
                    <w:adjustRightInd w:val="0"/>
                    <w:snapToGrid w:val="0"/>
                    <w:rPr>
                      <w:rFonts w:ascii="宋体" w:hAnsi="宋体"/>
                      <w:bCs/>
                      <w:color w:val="000000"/>
                    </w:rPr>
                  </w:pPr>
                  <w:r>
                    <w:rPr>
                      <w:rFonts w:hint="eastAsia" w:ascii="宋体" w:hAnsi="宋体"/>
                      <w:bCs/>
                      <w:color w:val="000000"/>
                    </w:rPr>
                    <w:t>对供应商提供产品、服务绩效进行评估；</w:t>
                  </w:r>
                </w:p>
                <w:p>
                  <w:r>
                    <w:rPr>
                      <w:rFonts w:hint="eastAsia" w:ascii="宋体" w:hAnsi="宋体"/>
                      <w:bCs/>
                      <w:color w:val="000000"/>
                    </w:rPr>
                    <w:t>3、后备新的供应商。</w:t>
                  </w:r>
                </w:p>
              </w:tc>
              <w:tc>
                <w:tcPr>
                  <w:tcW w:w="1717" w:type="dxa"/>
                </w:tcPr>
                <w:p>
                  <w:r>
                    <w:rPr>
                      <w:rFonts w:hint="eastAsia"/>
                    </w:rPr>
                    <w:sym w:font="Wingdings" w:char="00FE"/>
                  </w:r>
                  <w:r>
                    <w:rPr>
                      <w:rFonts w:hint="eastAsia"/>
                    </w:rPr>
                    <w:t>有效</w:t>
                  </w:r>
                  <w:r>
                    <w:rPr>
                      <w:rFonts w:hint="eastAsia"/>
                    </w:rPr>
                    <w:sym w:font="Wingdings" w:char="00A8"/>
                  </w:r>
                  <w:r>
                    <w:rPr>
                      <w:rFonts w:hint="eastAsia"/>
                    </w:rPr>
                    <w:t>不足</w:t>
                  </w:r>
                </w:p>
              </w:tc>
            </w:tr>
          </w:tbl>
          <w:p/>
          <w:p>
            <w:r>
              <w:rPr>
                <w:rFonts w:hint="eastAsia"/>
              </w:rPr>
              <w:t xml:space="preserve">应对机遇的措施类型包括： </w:t>
            </w:r>
          </w:p>
          <w:p>
            <w:r>
              <w:rPr>
                <w:rFonts w:hint="eastAsia"/>
              </w:rPr>
              <w:sym w:font="Wingdings" w:char="00FE"/>
            </w:r>
            <w:r>
              <w:rPr>
                <w:rFonts w:hint="eastAsia"/>
              </w:rPr>
              <w:t xml:space="preserve">采用新实践 </w:t>
            </w:r>
            <w:r>
              <w:rPr>
                <w:rFonts w:hint="eastAsia"/>
              </w:rPr>
              <w:sym w:font="Wingdings" w:char="00FE"/>
            </w:r>
            <w:r>
              <w:rPr>
                <w:rFonts w:hint="eastAsia"/>
              </w:rPr>
              <w:t xml:space="preserve">推出新产品  </w:t>
            </w:r>
            <w:r>
              <w:rPr>
                <w:rFonts w:hint="eastAsia"/>
              </w:rPr>
              <w:sym w:font="Wingdings" w:char="00FE"/>
            </w:r>
            <w:r>
              <w:rPr>
                <w:rFonts w:hint="eastAsia"/>
              </w:rPr>
              <w:t xml:space="preserve">开辟新市场  </w:t>
            </w:r>
            <w:r>
              <w:rPr>
                <w:rFonts w:hint="eastAsia"/>
              </w:rPr>
              <w:sym w:font="Wingdings" w:char="00FE"/>
            </w:r>
            <w:r>
              <w:rPr>
                <w:rFonts w:hint="eastAsia"/>
              </w:rPr>
              <w:t xml:space="preserve">赢得新顾客  </w:t>
            </w:r>
            <w:r>
              <w:rPr>
                <w:rFonts w:hint="eastAsia"/>
              </w:rPr>
              <w:sym w:font="Wingdings" w:char="00A8"/>
            </w:r>
            <w:r>
              <w:rPr>
                <w:rFonts w:hint="eastAsia"/>
              </w:rPr>
              <w:t xml:space="preserve">建立合作伙伴关系  </w:t>
            </w:r>
            <w:r>
              <w:rPr>
                <w:rFonts w:hint="eastAsia"/>
              </w:rPr>
              <w:sym w:font="Wingdings" w:char="00FE"/>
            </w:r>
            <w:r>
              <w:rPr>
                <w:rFonts w:hint="eastAsia"/>
              </w:rPr>
              <w:t xml:space="preserve">利用新技术  </w:t>
            </w:r>
            <w:r>
              <w:rPr>
                <w:rFonts w:hint="eastAsia"/>
              </w:rPr>
              <w:sym w:font="Wingdings" w:char="00A8"/>
            </w:r>
            <w:r>
              <w:rPr>
                <w:rFonts w:hint="eastAsia"/>
              </w:rPr>
              <w:t>其他</w:t>
            </w:r>
          </w:p>
          <w:p>
            <w:r>
              <w:rPr>
                <w:rFonts w:hint="eastAsia"/>
              </w:rPr>
              <w:t>列举2~3项应对重要机遇的描述：</w:t>
            </w:r>
          </w:p>
          <w:tbl>
            <w:tblPr>
              <w:tblStyle w:val="8"/>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0"/>
              <w:gridCol w:w="367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r>
                    <w:rPr>
                      <w:rFonts w:hint="eastAsia"/>
                    </w:rPr>
                    <w:t>主要的机遇描述</w:t>
                  </w:r>
                </w:p>
              </w:tc>
              <w:tc>
                <w:tcPr>
                  <w:tcW w:w="3675"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rPr>
                      <w:color w:val="FF0000"/>
                      <w:highlight w:val="cyan"/>
                    </w:rPr>
                  </w:pPr>
                  <w:r>
                    <w:rPr>
                      <w:rFonts w:ascii="Comic Sans MS" w:hAnsi="DFKai-SB"/>
                    </w:rPr>
                    <w:t>公司环保</w:t>
                  </w:r>
                  <w:r>
                    <w:rPr>
                      <w:rFonts w:hint="eastAsia" w:ascii="Comic Sans MS" w:hAnsi="DFKai-SB"/>
                    </w:rPr>
                    <w:t>和职业健康安全相关</w:t>
                  </w:r>
                  <w:r>
                    <w:rPr>
                      <w:rFonts w:ascii="Comic Sans MS" w:hAnsi="DFKai-SB"/>
                    </w:rPr>
                    <w:t>资质及设施较为齐全</w:t>
                  </w:r>
                </w:p>
              </w:tc>
              <w:tc>
                <w:tcPr>
                  <w:tcW w:w="3675" w:type="dxa"/>
                </w:tcPr>
                <w:p>
                  <w:r>
                    <w:rPr>
                      <w:rFonts w:ascii="Comic Sans MS" w:hAnsi="DFKai-SB"/>
                    </w:rPr>
                    <w:t>建立健全环保</w:t>
                  </w:r>
                  <w:r>
                    <w:rPr>
                      <w:rFonts w:hint="eastAsia" w:ascii="Comic Sans MS" w:hAnsi="DFKai-SB"/>
                    </w:rPr>
                    <w:t>和职业健康安全</w:t>
                  </w:r>
                  <w:r>
                    <w:rPr>
                      <w:rFonts w:ascii="Comic Sans MS" w:hAnsi="DFKai-SB"/>
                    </w:rPr>
                    <w:t>制度，严格落实执行</w:t>
                  </w:r>
                </w:p>
              </w:tc>
              <w:tc>
                <w:tcPr>
                  <w:tcW w:w="1717" w:type="dxa"/>
                </w:tcPr>
                <w:p>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rPr>
                      <w:szCs w:val="24"/>
                    </w:rPr>
                  </w:pPr>
                </w:p>
              </w:tc>
              <w:tc>
                <w:tcPr>
                  <w:tcW w:w="3675" w:type="dxa"/>
                </w:tcPr>
                <w:p/>
              </w:tc>
              <w:tc>
                <w:tcPr>
                  <w:tcW w:w="1717" w:type="dxa"/>
                </w:tcPr>
                <w:p>
                  <w:r>
                    <w:rPr>
                      <w:rFonts w:hint="eastAsia"/>
                    </w:rPr>
                    <w:sym w:font="Wingdings" w:char="00A8"/>
                  </w:r>
                  <w:r>
                    <w:rPr>
                      <w:rFonts w:hint="eastAsia"/>
                    </w:rPr>
                    <w:t>有效</w:t>
                  </w:r>
                  <w:r>
                    <w:rPr>
                      <w:rFonts w:hint="eastAsia"/>
                    </w:rPr>
                    <w:sym w:font="Wingdings" w:char="00A8"/>
                  </w:r>
                  <w:r>
                    <w:rPr>
                      <w:rFonts w:hint="eastAsia"/>
                    </w:rPr>
                    <w:t>不足</w:t>
                  </w:r>
                </w:p>
              </w:tc>
            </w:tr>
          </w:tbl>
          <w:p/>
          <w:p>
            <w:r>
              <w:rPr>
                <w:rFonts w:hint="eastAsia"/>
              </w:rPr>
              <w:t>查看</w:t>
            </w:r>
            <w:r>
              <w:rPr>
                <w:rFonts w:hint="eastAsia"/>
              </w:rPr>
              <w:sym w:font="Wingdings" w:char="00FE"/>
            </w:r>
            <w:r>
              <w:rPr>
                <w:rFonts w:hint="eastAsia"/>
              </w:rPr>
              <w:t>《风险和机遇分析表》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质量目标及其实现的策划</w:t>
            </w:r>
          </w:p>
          <w:p/>
        </w:tc>
        <w:tc>
          <w:tcPr>
            <w:tcW w:w="960" w:type="dxa"/>
            <w:vMerge w:val="restart"/>
          </w:tcPr>
          <w:p>
            <w:r>
              <w:rPr>
                <w:rFonts w:hint="eastAsia"/>
                <w:color w:val="000000"/>
                <w:szCs w:val="21"/>
              </w:rPr>
              <w:t>Q6.2 </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手册第6.2条款、</w:t>
            </w:r>
            <w:r>
              <w:rPr>
                <w:rFonts w:hint="eastAsia"/>
              </w:rPr>
              <w:sym w:font="Wingdings" w:char="00FE"/>
            </w:r>
            <w:r>
              <w:rPr>
                <w:rFonts w:hint="eastAsia"/>
              </w:rPr>
              <w:t>《目标分解及考核》</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组织建立了与方针一致的文件化的管理目标。为实现总质量目标而建立的各层级质量目标具体、有针对性、可测量并且可实现。</w:t>
            </w:r>
          </w:p>
          <w:p>
            <w:r>
              <w:rPr>
                <w:rFonts w:hint="eastAsia"/>
              </w:rPr>
              <w:t>总质量目标实现情况的评价，及其测量方法是：</w:t>
            </w:r>
          </w:p>
          <w:tbl>
            <w:tblPr>
              <w:tblStyle w:val="7"/>
              <w:tblpPr w:leftFromText="180" w:rightFromText="180" w:vertAnchor="text" w:horzAnchor="page" w:tblpX="95" w:tblpY="3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913"/>
              <w:gridCol w:w="2509"/>
              <w:gridCol w:w="1064"/>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szCs w:val="24"/>
                    </w:rPr>
                  </w:pPr>
                  <w:r>
                    <w:rPr>
                      <w:rFonts w:hint="eastAsia" w:ascii="宋体" w:hAnsi="宋体"/>
                      <w:szCs w:val="24"/>
                    </w:rPr>
                    <w:t>质量目标</w:t>
                  </w:r>
                </w:p>
              </w:tc>
              <w:tc>
                <w:tcPr>
                  <w:tcW w:w="913" w:type="dxa"/>
                  <w:shd w:val="clear" w:color="auto" w:fill="auto"/>
                </w:tcPr>
                <w:p>
                  <w:pPr>
                    <w:rPr>
                      <w:rFonts w:ascii="宋体" w:hAnsi="宋体"/>
                      <w:szCs w:val="24"/>
                    </w:rPr>
                  </w:pPr>
                  <w:r>
                    <w:rPr>
                      <w:rFonts w:hint="eastAsia" w:ascii="宋体" w:hAnsi="宋体"/>
                      <w:szCs w:val="24"/>
                    </w:rPr>
                    <w:t>目标值</w:t>
                  </w:r>
                </w:p>
              </w:tc>
              <w:tc>
                <w:tcPr>
                  <w:tcW w:w="2509" w:type="dxa"/>
                  <w:shd w:val="clear" w:color="auto" w:fill="auto"/>
                </w:tcPr>
                <w:p>
                  <w:pPr>
                    <w:rPr>
                      <w:rFonts w:ascii="宋体" w:hAnsi="宋体"/>
                      <w:szCs w:val="24"/>
                    </w:rPr>
                  </w:pPr>
                  <w:r>
                    <w:rPr>
                      <w:rFonts w:hint="eastAsia" w:ascii="宋体" w:hAnsi="宋体"/>
                      <w:szCs w:val="24"/>
                    </w:rPr>
                    <w:t>计算方法</w:t>
                  </w:r>
                </w:p>
              </w:tc>
              <w:tc>
                <w:tcPr>
                  <w:tcW w:w="1064" w:type="dxa"/>
                  <w:shd w:val="clear" w:color="auto" w:fill="auto"/>
                </w:tcPr>
                <w:p>
                  <w:pPr>
                    <w:rPr>
                      <w:rFonts w:ascii="宋体" w:hAnsi="宋体"/>
                      <w:szCs w:val="24"/>
                    </w:rPr>
                  </w:pPr>
                  <w:r>
                    <w:rPr>
                      <w:rFonts w:hint="eastAsia" w:ascii="宋体" w:hAnsi="宋体"/>
                      <w:szCs w:val="24"/>
                    </w:rPr>
                    <w:t>统计频次</w:t>
                  </w:r>
                </w:p>
              </w:tc>
              <w:tc>
                <w:tcPr>
                  <w:tcW w:w="2350" w:type="dxa"/>
                  <w:shd w:val="clear" w:color="auto" w:fill="auto"/>
                </w:tcPr>
                <w:p>
                  <w:pPr>
                    <w:rPr>
                      <w:rFonts w:ascii="宋体" w:hAnsi="宋体"/>
                      <w:szCs w:val="24"/>
                    </w:rPr>
                  </w:pPr>
                  <w:r>
                    <w:rPr>
                      <w:rFonts w:hint="eastAsia" w:ascii="宋体" w:hAnsi="宋体"/>
                      <w:szCs w:val="24"/>
                    </w:rPr>
                    <w:t>2020目标实际完成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rPr>
                      <w:szCs w:val="21"/>
                    </w:rPr>
                  </w:pPr>
                  <w:r>
                    <w:rPr>
                      <w:rFonts w:hint="eastAsia"/>
                      <w:szCs w:val="21"/>
                    </w:rPr>
                    <w:t>产品交付合格率100%</w:t>
                  </w:r>
                </w:p>
              </w:tc>
              <w:tc>
                <w:tcPr>
                  <w:tcW w:w="913" w:type="dxa"/>
                  <w:shd w:val="clear" w:color="auto" w:fill="auto"/>
                  <w:vAlign w:val="center"/>
                </w:tcPr>
                <w:p>
                  <w:r>
                    <w:rPr>
                      <w:rFonts w:hint="eastAsia"/>
                    </w:rPr>
                    <w:t>100%</w:t>
                  </w:r>
                </w:p>
              </w:tc>
              <w:tc>
                <w:tcPr>
                  <w:tcW w:w="2509" w:type="dxa"/>
                  <w:shd w:val="clear" w:color="auto" w:fill="auto"/>
                  <w:vAlign w:val="top"/>
                </w:tcPr>
                <w:p>
                  <w:pPr>
                    <w:spacing w:line="300" w:lineRule="exact"/>
                    <w:rPr>
                      <w:szCs w:val="21"/>
                    </w:rPr>
                  </w:pPr>
                  <w:r>
                    <w:rPr>
                      <w:rFonts w:hint="eastAsia"/>
                      <w:szCs w:val="21"/>
                    </w:rPr>
                    <w:t>产品一次检验合格品数/产品总数×100%</w:t>
                  </w:r>
                </w:p>
              </w:tc>
              <w:tc>
                <w:tcPr>
                  <w:tcW w:w="1064" w:type="dxa"/>
                  <w:shd w:val="clear" w:color="auto" w:fill="auto"/>
                  <w:vAlign w:val="top"/>
                </w:tcPr>
                <w:p>
                  <w:pPr>
                    <w:spacing w:line="500" w:lineRule="exact"/>
                    <w:rPr>
                      <w:szCs w:val="21"/>
                    </w:rPr>
                  </w:pPr>
                  <w:r>
                    <w:rPr>
                      <w:rFonts w:hint="eastAsia"/>
                      <w:szCs w:val="21"/>
                    </w:rPr>
                    <w:t>一次/月</w:t>
                  </w:r>
                </w:p>
              </w:tc>
              <w:tc>
                <w:tcPr>
                  <w:tcW w:w="2350" w:type="dxa"/>
                  <w:shd w:val="clear" w:color="auto" w:fill="auto"/>
                </w:tcPr>
                <w:p>
                  <w:pPr>
                    <w:rPr>
                      <w:lang w:val="en-GB"/>
                    </w:rPr>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900"/>
                    </w:tabs>
                    <w:spacing w:line="300" w:lineRule="exact"/>
                    <w:rPr>
                      <w:szCs w:val="21"/>
                    </w:rPr>
                  </w:pPr>
                  <w:r>
                    <w:rPr>
                      <w:rFonts w:hint="eastAsia"/>
                      <w:szCs w:val="21"/>
                    </w:rPr>
                    <w:t>顾客满意度≥90%</w:t>
                  </w:r>
                </w:p>
              </w:tc>
              <w:tc>
                <w:tcPr>
                  <w:tcW w:w="913" w:type="dxa"/>
                  <w:shd w:val="clear" w:color="auto" w:fill="auto"/>
                  <w:vAlign w:val="center"/>
                </w:tcPr>
                <w:p>
                  <w:pPr>
                    <w:rPr>
                      <w:rFonts w:hint="default" w:eastAsia="宋体"/>
                      <w:lang w:val="en-US" w:eastAsia="zh-CN"/>
                    </w:rPr>
                  </w:pPr>
                  <w:r>
                    <w:rPr>
                      <w:rFonts w:hint="eastAsia"/>
                      <w:lang w:val="en-US" w:eastAsia="zh-CN"/>
                    </w:rPr>
                    <w:t>97</w:t>
                  </w:r>
                </w:p>
              </w:tc>
              <w:tc>
                <w:tcPr>
                  <w:tcW w:w="2509" w:type="dxa"/>
                  <w:shd w:val="clear" w:color="auto" w:fill="auto"/>
                  <w:vAlign w:val="center"/>
                </w:tcPr>
                <w:p>
                  <w:pPr>
                    <w:spacing w:line="300" w:lineRule="exact"/>
                    <w:rPr>
                      <w:szCs w:val="21"/>
                    </w:rPr>
                  </w:pPr>
                  <w:r>
                    <w:rPr>
                      <w:rFonts w:hint="eastAsia"/>
                      <w:szCs w:val="21"/>
                    </w:rPr>
                    <w:t>质量、服务、交付期等项目分数之和/项目数×</w:t>
                  </w:r>
                  <w:r>
                    <w:rPr>
                      <w:szCs w:val="21"/>
                    </w:rPr>
                    <w:t>100%</w:t>
                  </w:r>
                </w:p>
              </w:tc>
              <w:tc>
                <w:tcPr>
                  <w:tcW w:w="1064" w:type="dxa"/>
                  <w:shd w:val="clear" w:color="auto" w:fill="auto"/>
                  <w:vAlign w:val="top"/>
                </w:tcPr>
                <w:p>
                  <w:pPr>
                    <w:rPr>
                      <w:szCs w:val="21"/>
                    </w:rPr>
                  </w:pPr>
                  <w:r>
                    <w:rPr>
                      <w:rFonts w:hint="eastAsia"/>
                      <w:szCs w:val="21"/>
                    </w:rPr>
                    <w:t>一次/年</w:t>
                  </w:r>
                </w:p>
              </w:tc>
              <w:tc>
                <w:tcPr>
                  <w:tcW w:w="2350" w:type="dxa"/>
                  <w:shd w:val="clear" w:color="auto" w:fill="auto"/>
                </w:tcPr>
                <w:p>
                  <w:pPr>
                    <w:rPr>
                      <w:lang w:val="en-GB"/>
                    </w:rPr>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900"/>
                    </w:tabs>
                    <w:spacing w:line="300" w:lineRule="exact"/>
                    <w:rPr>
                      <w:szCs w:val="21"/>
                    </w:rPr>
                  </w:pPr>
                  <w:r>
                    <w:rPr>
                      <w:rFonts w:hint="eastAsia"/>
                      <w:szCs w:val="21"/>
                    </w:rPr>
                    <w:t>火灾事故0发生</w:t>
                  </w:r>
                </w:p>
              </w:tc>
              <w:tc>
                <w:tcPr>
                  <w:tcW w:w="913" w:type="dxa"/>
                  <w:shd w:val="clear" w:color="auto" w:fill="auto"/>
                  <w:vAlign w:val="center"/>
                </w:tcPr>
                <w:p>
                  <w:pPr>
                    <w:rPr>
                      <w:rFonts w:hint="eastAsia" w:eastAsia="宋体"/>
                      <w:lang w:eastAsia="zh-CN"/>
                    </w:rPr>
                  </w:pPr>
                  <w:r>
                    <w:rPr>
                      <w:rFonts w:hint="eastAsia"/>
                      <w:lang w:val="en-US" w:eastAsia="zh-CN"/>
                    </w:rPr>
                    <w:t>0</w:t>
                  </w:r>
                </w:p>
              </w:tc>
              <w:tc>
                <w:tcPr>
                  <w:tcW w:w="2509" w:type="dxa"/>
                  <w:shd w:val="clear" w:color="auto" w:fill="auto"/>
                  <w:vAlign w:val="top"/>
                </w:tcPr>
                <w:p>
                  <w:pPr>
                    <w:rPr>
                      <w:szCs w:val="21"/>
                    </w:rPr>
                  </w:pPr>
                  <w:r>
                    <w:rPr>
                      <w:rFonts w:hint="eastAsia"/>
                      <w:szCs w:val="21"/>
                    </w:rPr>
                    <w:t>统计火灾事故次数</w:t>
                  </w:r>
                </w:p>
              </w:tc>
              <w:tc>
                <w:tcPr>
                  <w:tcW w:w="1064" w:type="dxa"/>
                  <w:shd w:val="clear" w:color="auto" w:fill="auto"/>
                  <w:vAlign w:val="top"/>
                </w:tcPr>
                <w:p>
                  <w:pPr>
                    <w:rPr>
                      <w:szCs w:val="21"/>
                    </w:rPr>
                  </w:pPr>
                  <w:r>
                    <w:rPr>
                      <w:rFonts w:hint="eastAsia"/>
                      <w:szCs w:val="21"/>
                    </w:rPr>
                    <w:t>一次/季度</w:t>
                  </w:r>
                </w:p>
              </w:tc>
              <w:tc>
                <w:tcPr>
                  <w:tcW w:w="2350" w:type="dxa"/>
                  <w:shd w:val="clear" w:color="auto" w:fill="auto"/>
                </w:tcPr>
                <w:p>
                  <w:pPr>
                    <w:rPr>
                      <w:lang w:val="en-GB"/>
                    </w:rPr>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900"/>
                    </w:tabs>
                    <w:spacing w:line="300" w:lineRule="exact"/>
                    <w:rPr>
                      <w:rFonts w:ascii="Times New Roman" w:hAnsi="Times New Roman"/>
                      <w:szCs w:val="21"/>
                    </w:rPr>
                  </w:pPr>
                  <w:r>
                    <w:rPr>
                      <w:rFonts w:hint="eastAsia"/>
                      <w:szCs w:val="21"/>
                    </w:rPr>
                    <w:t>废气合规排放100%</w:t>
                  </w:r>
                </w:p>
              </w:tc>
              <w:tc>
                <w:tcPr>
                  <w:tcW w:w="913" w:type="dxa"/>
                  <w:shd w:val="clear" w:color="auto" w:fill="auto"/>
                  <w:vAlign w:val="center"/>
                </w:tcPr>
                <w:p>
                  <w:r>
                    <w:rPr>
                      <w:rFonts w:hint="eastAsia"/>
                    </w:rPr>
                    <w:t>100%</w:t>
                  </w:r>
                </w:p>
              </w:tc>
              <w:tc>
                <w:tcPr>
                  <w:tcW w:w="2509" w:type="dxa"/>
                  <w:shd w:val="clear" w:color="auto" w:fill="auto"/>
                  <w:vAlign w:val="center"/>
                </w:tcPr>
                <w:p>
                  <w:pPr>
                    <w:spacing w:line="300" w:lineRule="exact"/>
                    <w:rPr>
                      <w:szCs w:val="21"/>
                    </w:rPr>
                  </w:pPr>
                  <w:r>
                    <w:rPr>
                      <w:rFonts w:hint="eastAsia"/>
                      <w:szCs w:val="21"/>
                    </w:rPr>
                    <w:t>环保设备开机数/生产开机数×100%</w:t>
                  </w:r>
                </w:p>
              </w:tc>
              <w:tc>
                <w:tcPr>
                  <w:tcW w:w="1064" w:type="dxa"/>
                  <w:shd w:val="clear" w:color="auto" w:fill="auto"/>
                  <w:vAlign w:val="top"/>
                </w:tcPr>
                <w:p>
                  <w:pPr>
                    <w:rPr>
                      <w:szCs w:val="21"/>
                    </w:rPr>
                  </w:pPr>
                  <w:r>
                    <w:rPr>
                      <w:rFonts w:hint="eastAsia"/>
                      <w:szCs w:val="21"/>
                    </w:rPr>
                    <w:t>一次/年</w:t>
                  </w:r>
                </w:p>
              </w:tc>
              <w:tc>
                <w:tcPr>
                  <w:tcW w:w="2350" w:type="dxa"/>
                  <w:shd w:val="clear" w:color="auto" w:fill="auto"/>
                </w:tcPr>
                <w:p>
                  <w:pPr>
                    <w:rPr>
                      <w:lang w:val="en-GB"/>
                    </w:rPr>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snapToGrid w:val="0"/>
                    <w:spacing w:line="300" w:lineRule="exact"/>
                    <w:rPr>
                      <w:szCs w:val="21"/>
                    </w:rPr>
                  </w:pPr>
                  <w:r>
                    <w:rPr>
                      <w:rFonts w:hint="eastAsia" w:ascii="Times New Roman" w:hAnsi="Times New Roman"/>
                      <w:szCs w:val="21"/>
                    </w:rPr>
                    <w:t>固体废物分类收集处置率100%</w:t>
                  </w:r>
                </w:p>
              </w:tc>
              <w:tc>
                <w:tcPr>
                  <w:tcW w:w="913" w:type="dxa"/>
                  <w:shd w:val="clear" w:color="auto" w:fill="auto"/>
                  <w:vAlign w:val="center"/>
                </w:tcPr>
                <w:p>
                  <w:r>
                    <w:rPr>
                      <w:rFonts w:hint="eastAsia"/>
                    </w:rPr>
                    <w:t>0</w:t>
                  </w:r>
                </w:p>
              </w:tc>
              <w:tc>
                <w:tcPr>
                  <w:tcW w:w="2509" w:type="dxa"/>
                  <w:shd w:val="clear" w:color="auto" w:fill="auto"/>
                  <w:vAlign w:val="center"/>
                </w:tcPr>
                <w:p>
                  <w:pPr>
                    <w:spacing w:line="300" w:lineRule="exact"/>
                    <w:rPr>
                      <w:szCs w:val="21"/>
                    </w:rPr>
                  </w:pPr>
                  <w:r>
                    <w:rPr>
                      <w:rFonts w:hint="eastAsia"/>
                      <w:szCs w:val="21"/>
                    </w:rPr>
                    <w:t>每季度检查两次分类处理情况/</w:t>
                  </w:r>
                  <w:r>
                    <w:rPr>
                      <w:szCs w:val="21"/>
                    </w:rPr>
                    <w:t>2</w:t>
                  </w:r>
                  <w:r>
                    <w:rPr>
                      <w:rFonts w:hint="eastAsia"/>
                      <w:szCs w:val="21"/>
                    </w:rPr>
                    <w:t>次分类处理情况×</w:t>
                  </w:r>
                  <w:r>
                    <w:rPr>
                      <w:szCs w:val="21"/>
                    </w:rPr>
                    <w:t>100%</w:t>
                  </w:r>
                </w:p>
              </w:tc>
              <w:tc>
                <w:tcPr>
                  <w:tcW w:w="1064" w:type="dxa"/>
                  <w:shd w:val="clear" w:color="auto" w:fill="auto"/>
                  <w:vAlign w:val="top"/>
                </w:tcPr>
                <w:p>
                  <w:pPr>
                    <w:rPr>
                      <w:szCs w:val="21"/>
                    </w:rPr>
                  </w:pPr>
                  <w:r>
                    <w:rPr>
                      <w:rFonts w:hint="eastAsia"/>
                      <w:szCs w:val="21"/>
                    </w:rPr>
                    <w:t>一次/季度</w:t>
                  </w:r>
                </w:p>
              </w:tc>
              <w:tc>
                <w:tcPr>
                  <w:tcW w:w="2350" w:type="dxa"/>
                  <w:shd w:val="clear" w:color="auto" w:fill="auto"/>
                </w:tcPr>
                <w:p>
                  <w:pPr>
                    <w:rPr>
                      <w:lang w:val="en-GB"/>
                    </w:rPr>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pStyle w:val="3"/>
                    <w:snapToGrid w:val="0"/>
                    <w:spacing w:line="300" w:lineRule="exact"/>
                    <w:rPr>
                      <w:szCs w:val="21"/>
                    </w:rPr>
                  </w:pPr>
                  <w:r>
                    <w:rPr>
                      <w:rFonts w:hint="eastAsia" w:hAnsi="宋体"/>
                      <w:szCs w:val="21"/>
                    </w:rPr>
                    <w:t>重大伤亡事故为0；</w:t>
                  </w:r>
                </w:p>
              </w:tc>
              <w:tc>
                <w:tcPr>
                  <w:tcW w:w="913" w:type="dxa"/>
                  <w:vAlign w:val="center"/>
                </w:tcPr>
                <w:p>
                  <w:pPr>
                    <w:rPr>
                      <w:rFonts w:hint="eastAsia" w:eastAsia="宋体"/>
                      <w:lang w:eastAsia="zh-CN"/>
                    </w:rPr>
                  </w:pPr>
                  <w:r>
                    <w:rPr>
                      <w:rFonts w:hint="eastAsia"/>
                      <w:lang w:val="en-US" w:eastAsia="zh-CN"/>
                    </w:rPr>
                    <w:t>0</w:t>
                  </w:r>
                </w:p>
              </w:tc>
              <w:tc>
                <w:tcPr>
                  <w:tcW w:w="2509" w:type="dxa"/>
                  <w:vAlign w:val="center"/>
                </w:tcPr>
                <w:p>
                  <w:pPr>
                    <w:spacing w:line="300" w:lineRule="exact"/>
                    <w:rPr>
                      <w:szCs w:val="21"/>
                    </w:rPr>
                  </w:pPr>
                  <w:r>
                    <w:rPr>
                      <w:rFonts w:hint="eastAsia"/>
                      <w:szCs w:val="21"/>
                    </w:rPr>
                    <w:t>统计重大伤亡事故次数</w:t>
                  </w:r>
                </w:p>
              </w:tc>
              <w:tc>
                <w:tcPr>
                  <w:tcW w:w="1064" w:type="dxa"/>
                  <w:vAlign w:val="top"/>
                </w:tcPr>
                <w:p>
                  <w:pPr>
                    <w:rPr>
                      <w:szCs w:val="21"/>
                    </w:rPr>
                  </w:pPr>
                  <w:r>
                    <w:rPr>
                      <w:rFonts w:hint="eastAsia"/>
                      <w:szCs w:val="21"/>
                    </w:rPr>
                    <w:t>一次/季度</w:t>
                  </w:r>
                </w:p>
              </w:tc>
              <w:tc>
                <w:tcPr>
                  <w:tcW w:w="2350" w:type="dxa"/>
                </w:tcPr>
                <w:p>
                  <w:pPr>
                    <w:rPr>
                      <w:lang w:val="en-GB"/>
                    </w:rPr>
                  </w:pPr>
                  <w:r>
                    <w:rPr>
                      <w:rFonts w:hint="eastAsia"/>
                    </w:rPr>
                    <w:sym w:font="Wingdings" w:char="00FE"/>
                  </w:r>
                  <w:r>
                    <w:rPr>
                      <w:rFonts w:hint="eastAsia"/>
                    </w:rPr>
                    <w:t>是</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tabs>
                      <w:tab w:val="left" w:pos="900"/>
                    </w:tabs>
                    <w:spacing w:line="300" w:lineRule="exact"/>
                    <w:rPr>
                      <w:szCs w:val="21"/>
                    </w:rPr>
                  </w:pPr>
                  <w:r>
                    <w:rPr>
                      <w:rFonts w:hint="eastAsia"/>
                      <w:szCs w:val="21"/>
                    </w:rPr>
                    <w:t>噪音排放达标</w:t>
                  </w:r>
                </w:p>
              </w:tc>
              <w:tc>
                <w:tcPr>
                  <w:tcW w:w="913" w:type="dxa"/>
                  <w:vAlign w:val="center"/>
                </w:tcPr>
                <w:p>
                  <w:pPr>
                    <w:rPr>
                      <w:rFonts w:hint="eastAsia" w:eastAsia="宋体"/>
                      <w:lang w:val="en-US" w:eastAsia="zh-CN"/>
                    </w:rPr>
                  </w:pPr>
                  <w:r>
                    <w:rPr>
                      <w:rFonts w:hint="eastAsia"/>
                      <w:lang w:val="en-US" w:eastAsia="zh-CN"/>
                    </w:rPr>
                    <w:t>合格</w:t>
                  </w:r>
                </w:p>
              </w:tc>
              <w:tc>
                <w:tcPr>
                  <w:tcW w:w="2509" w:type="dxa"/>
                  <w:vAlign w:val="center"/>
                </w:tcPr>
                <w:p>
                  <w:pPr>
                    <w:spacing w:line="300" w:lineRule="exact"/>
                    <w:rPr>
                      <w:szCs w:val="21"/>
                    </w:rPr>
                  </w:pPr>
                  <w:r>
                    <w:rPr>
                      <w:rFonts w:hint="eastAsia"/>
                      <w:szCs w:val="21"/>
                    </w:rPr>
                    <w:t>环保监测部门直接测量数据</w:t>
                  </w:r>
                </w:p>
              </w:tc>
              <w:tc>
                <w:tcPr>
                  <w:tcW w:w="1064" w:type="dxa"/>
                  <w:vAlign w:val="top"/>
                </w:tcPr>
                <w:p>
                  <w:pPr>
                    <w:rPr>
                      <w:szCs w:val="21"/>
                    </w:rPr>
                  </w:pPr>
                  <w:r>
                    <w:rPr>
                      <w:rFonts w:hint="eastAsia"/>
                      <w:szCs w:val="21"/>
                    </w:rPr>
                    <w:t>一次/年</w:t>
                  </w:r>
                </w:p>
              </w:tc>
              <w:tc>
                <w:tcPr>
                  <w:tcW w:w="2350" w:type="dxa"/>
                </w:tcPr>
                <w:p>
                  <w:pPr>
                    <w:rPr>
                      <w:lang w:val="en-GB"/>
                    </w:rPr>
                  </w:pPr>
                  <w:r>
                    <w:rPr>
                      <w:rFonts w:hint="eastAsia"/>
                    </w:rPr>
                    <w:sym w:font="Wingdings" w:char="00FE"/>
                  </w:r>
                  <w:r>
                    <w:rPr>
                      <w:rFonts w:hint="eastAsia"/>
                    </w:rPr>
                    <w:t xml:space="preserve">是 </w:t>
                  </w:r>
                  <w:r>
                    <w:rPr>
                      <w:rFonts w:hint="eastAsia"/>
                    </w:rPr>
                    <w:sym w:font="Wingdings" w:char="00A8"/>
                  </w:r>
                  <w:r>
                    <w:rPr>
                      <w:rFonts w:hint="eastAsia"/>
                    </w:rPr>
                    <w:t>否</w:t>
                  </w:r>
                </w:p>
              </w:tc>
            </w:tr>
          </w:tbl>
          <w:p>
            <w:pPr>
              <w:pStyle w:val="2"/>
            </w:pPr>
          </w:p>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变更的策划</w:t>
            </w:r>
          </w:p>
          <w:p/>
        </w:tc>
        <w:tc>
          <w:tcPr>
            <w:tcW w:w="960" w:type="dxa"/>
            <w:vMerge w:val="restart"/>
          </w:tcPr>
          <w:p>
            <w:r>
              <w:rPr>
                <w:rFonts w:hint="eastAsia"/>
                <w:color w:val="000000"/>
                <w:szCs w:val="21"/>
              </w:rPr>
              <w:t>Q6.3  </w:t>
            </w:r>
          </w:p>
        </w:tc>
        <w:tc>
          <w:tcPr>
            <w:tcW w:w="745" w:type="dxa"/>
          </w:tcPr>
          <w:p>
            <w:r>
              <w:rPr>
                <w:rFonts w:hint="eastAsia"/>
              </w:rPr>
              <w:t>文件名称</w:t>
            </w:r>
          </w:p>
        </w:tc>
        <w:tc>
          <w:tcPr>
            <w:tcW w:w="9259" w:type="dxa"/>
          </w:tcPr>
          <w:p>
            <w:r>
              <w:rPr>
                <w:rFonts w:hint="eastAsia"/>
              </w:rPr>
              <w:t>如：手册第6.3条款、</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color w:val="000000"/>
                <w:szCs w:val="21"/>
              </w:rPr>
              <w:t xml:space="preserve"> </w:t>
            </w:r>
            <w:r>
              <w:rPr>
                <w:rFonts w:hint="eastAsia"/>
              </w:rPr>
              <w:t>组织对相关管理体系进行变更时，变更应按所策划的方式实施；审核周期内的重大变更有：</w:t>
            </w:r>
          </w:p>
          <w:p>
            <w:pPr>
              <w:spacing w:before="40" w:after="40"/>
            </w:pPr>
            <w:r>
              <w:rPr>
                <w:rFonts w:hint="eastAsia"/>
              </w:rPr>
              <w:t xml:space="preserve">□组织结构变更 □部门职责变更 □主要原材料 □关键人员 □生产工艺/服务流程 </w:t>
            </w:r>
          </w:p>
          <w:p>
            <w:pPr>
              <w:spacing w:before="40" w:after="40"/>
            </w:pPr>
            <w:r>
              <w:rPr>
                <w:rFonts w:hint="eastAsia"/>
              </w:rPr>
              <w:t>□主要设备设施 □主要检测设备 ☑无变更</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3632"/>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体系变更的内容说明</w:t>
                  </w:r>
                </w:p>
              </w:tc>
              <w:tc>
                <w:tcPr>
                  <w:tcW w:w="3632" w:type="dxa"/>
                </w:tcPr>
                <w:p>
                  <w:pPr>
                    <w:rPr>
                      <w:highlight w:val="cyan"/>
                    </w:rPr>
                  </w:pPr>
                  <w:r>
                    <w:rPr>
                      <w:rFonts w:hint="eastAsia"/>
                    </w:rPr>
                    <w:t>无</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评价内容</w:t>
                  </w:r>
                </w:p>
              </w:tc>
              <w:tc>
                <w:tcPr>
                  <w:tcW w:w="3632" w:type="dxa"/>
                </w:tcPr>
                <w:p>
                  <w:r>
                    <w:rPr>
                      <w:rFonts w:hint="eastAsia"/>
                    </w:rPr>
                    <w:t>评价具体描述</w:t>
                  </w:r>
                </w:p>
              </w:tc>
              <w:tc>
                <w:tcPr>
                  <w:tcW w:w="3015" w:type="dxa"/>
                </w:tcPr>
                <w:p>
                  <w:r>
                    <w:rPr>
                      <w:rFonts w:hint="eastAsi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变更目的</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其潜在后果</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质量管理体系的完整性</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资源的可获得性</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职责和权限的分配或再分配</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资源（总则）</w:t>
            </w:r>
          </w:p>
        </w:tc>
        <w:tc>
          <w:tcPr>
            <w:tcW w:w="960" w:type="dxa"/>
            <w:vMerge w:val="restart"/>
          </w:tcPr>
          <w:p>
            <w:r>
              <w:rPr>
                <w:rFonts w:hint="eastAsia"/>
                <w:color w:val="000000"/>
                <w:szCs w:val="21"/>
              </w:rPr>
              <w:t>Q7.1 </w:t>
            </w:r>
          </w:p>
        </w:tc>
        <w:tc>
          <w:tcPr>
            <w:tcW w:w="745" w:type="dxa"/>
          </w:tcPr>
          <w:p>
            <w:r>
              <w:rPr>
                <w:rFonts w:hint="eastAsia"/>
              </w:rPr>
              <w:t>文件名称</w:t>
            </w:r>
          </w:p>
        </w:tc>
        <w:tc>
          <w:tcPr>
            <w:tcW w:w="9259" w:type="dxa"/>
          </w:tcPr>
          <w:p>
            <w:r>
              <w:rPr>
                <w:rFonts w:hint="eastAsia"/>
              </w:rPr>
              <w:t>如：手册第7.1条款、</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21"/>
              </w:rPr>
            </w:pPr>
            <w:r>
              <w:rPr>
                <w:rFonts w:hint="eastAsia"/>
                <w:color w:val="000000"/>
                <w:szCs w:val="21"/>
              </w:rPr>
              <w:t xml:space="preserve">和最高管理层确定并提供所需的资源，以建立、实施、保持和持续改进质量管理体系。 </w:t>
            </w:r>
          </w:p>
          <w:p>
            <w:pPr>
              <w:numPr>
                <w:ilvl w:val="0"/>
                <w:numId w:val="3"/>
              </w:numPr>
              <w:rPr>
                <w:szCs w:val="21"/>
              </w:rPr>
            </w:pPr>
            <w:r>
              <w:rPr>
                <w:rFonts w:hint="eastAsia"/>
                <w:szCs w:val="21"/>
              </w:rPr>
              <w:t>现有内部资源的能力；</w:t>
            </w:r>
          </w:p>
          <w:p>
            <w:pPr>
              <w:rPr>
                <w:color w:val="FF0000"/>
              </w:rPr>
            </w:pPr>
            <w:r>
              <w:rPr>
                <w:rFonts w:hint="eastAsia"/>
              </w:rPr>
              <w:t>建筑面积</w:t>
            </w:r>
            <w:r>
              <w:rPr>
                <w:rFonts w:hint="eastAsia"/>
                <w:u w:val="single"/>
              </w:rPr>
              <w:t xml:space="preserve">  11833.2 </w:t>
            </w:r>
            <w:r>
              <w:rPr>
                <w:rFonts w:hint="eastAsia"/>
              </w:rPr>
              <w:t>平方米；生产车间</w:t>
            </w:r>
            <w:r>
              <w:rPr>
                <w:rFonts w:hint="eastAsia"/>
                <w:u w:val="single"/>
              </w:rPr>
              <w:t xml:space="preserve"> 3 </w:t>
            </w:r>
            <w:r>
              <w:rPr>
                <w:rFonts w:hint="eastAsia"/>
              </w:rPr>
              <w:t>个；库房</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个；实验室</w:t>
            </w:r>
            <w:r>
              <w:rPr>
                <w:rFonts w:hint="eastAsia"/>
                <w:u w:val="single"/>
              </w:rPr>
              <w:t xml:space="preserve"> 1  </w:t>
            </w:r>
            <w:r>
              <w:rPr>
                <w:rFonts w:hint="eastAsia"/>
              </w:rPr>
              <w:t>个；</w:t>
            </w:r>
          </w:p>
          <w:p>
            <w:pPr>
              <w:rPr>
                <w:u w:val="single"/>
              </w:rPr>
            </w:pPr>
            <w:r>
              <w:rPr>
                <w:rFonts w:hint="eastAsia"/>
              </w:rPr>
              <w:t>主要生产设备有：</w:t>
            </w:r>
            <w:r>
              <w:rPr>
                <w:rFonts w:hint="eastAsia"/>
                <w:u w:val="single"/>
              </w:rPr>
              <w:t xml:space="preserve"> 多功能切药机、可倾式蒸煮锅、炒药机   （列举2~4种）</w:t>
            </w:r>
          </w:p>
          <w:p>
            <w:r>
              <w:rPr>
                <w:rFonts w:hint="eastAsia"/>
              </w:rPr>
              <w:t>特种设备：</w:t>
            </w:r>
            <w:r>
              <w:rPr>
                <w:rFonts w:hint="eastAsia"/>
              </w:rPr>
              <w:sym w:font="Wingdings" w:char="00A8"/>
            </w:r>
            <w:r>
              <w:rPr>
                <w:rFonts w:hint="eastAsia"/>
              </w:rPr>
              <w:t xml:space="preserve">叉车 </w:t>
            </w:r>
            <w:r>
              <w:rPr>
                <w:rFonts w:hint="eastAsia"/>
              </w:rPr>
              <w:sym w:font="Wingdings" w:char="00FE"/>
            </w:r>
            <w:r>
              <w:rPr>
                <w:rFonts w:hint="eastAsia"/>
              </w:rPr>
              <w:t xml:space="preserve">行车 </w:t>
            </w:r>
            <w:r>
              <w:rPr>
                <w:rFonts w:hint="eastAsia"/>
              </w:rPr>
              <w:sym w:font="Wingdings" w:char="00FE"/>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rPr>
                <w:color w:val="000000" w:themeColor="text1"/>
                <w:u w:val="single"/>
              </w:rPr>
            </w:pPr>
            <w:r>
              <w:rPr>
                <w:rFonts w:hint="eastAsia"/>
              </w:rPr>
              <w:t>特种设备管理：</w:t>
            </w:r>
            <w:r>
              <w:rPr>
                <w:rFonts w:hint="eastAsia"/>
              </w:rPr>
              <w:sym w:font="Wingdings" w:char="00A8"/>
            </w:r>
            <w:r>
              <w:rPr>
                <w:rFonts w:hint="eastAsia"/>
              </w:rPr>
              <w:t xml:space="preserve">进行了定期检验 </w:t>
            </w:r>
            <w:r>
              <w:rPr>
                <w:rFonts w:hint="eastAsia"/>
                <w:color w:val="000000" w:themeColor="text1"/>
              </w:rPr>
              <w:t xml:space="preserve"> </w:t>
            </w:r>
            <w:r>
              <w:rPr>
                <w:rFonts w:hint="eastAsia"/>
                <w:color w:val="000000" w:themeColor="text1"/>
              </w:rPr>
              <w:sym w:font="Wingdings" w:char="00FE"/>
            </w:r>
            <w:r>
              <w:rPr>
                <w:rFonts w:hint="eastAsia"/>
                <w:color w:val="000000" w:themeColor="text1"/>
              </w:rPr>
              <w:t xml:space="preserve">未进行定期检验的有： </w:t>
            </w:r>
            <w:r>
              <w:rPr>
                <w:rFonts w:hint="eastAsia"/>
                <w:color w:val="000000" w:themeColor="text1"/>
                <w:u w:val="single"/>
              </w:rPr>
              <w:t xml:space="preserve"> </w:t>
            </w:r>
            <w:r>
              <w:rPr>
                <w:rFonts w:hint="eastAsia"/>
                <w:color w:val="000000" w:themeColor="text1"/>
                <w:u w:val="single"/>
                <w:lang w:val="en-US" w:eastAsia="zh-CN"/>
              </w:rPr>
              <w:t>提供的锅炉检验报告已过期</w:t>
            </w:r>
            <w:r>
              <w:rPr>
                <w:rFonts w:hint="eastAsia"/>
                <w:color w:val="000000" w:themeColor="text1"/>
                <w:u w:val="single"/>
              </w:rPr>
              <w:t xml:space="preserve">  </w:t>
            </w:r>
          </w:p>
          <w:p>
            <w:pPr>
              <w:rPr>
                <w:color w:val="000000" w:themeColor="text1"/>
                <w:szCs w:val="21"/>
              </w:rPr>
            </w:pPr>
          </w:p>
          <w:p>
            <w:pPr>
              <w:rPr>
                <w:szCs w:val="21"/>
              </w:rPr>
            </w:pPr>
            <w:r>
              <w:rPr>
                <w:rFonts w:hint="eastAsia"/>
                <w:szCs w:val="21"/>
              </w:rPr>
              <w:t>还存在哪些局限和不足：</w:t>
            </w:r>
            <w:r>
              <w:rPr>
                <w:rFonts w:hint="eastAsia"/>
                <w:u w:val="single"/>
              </w:rPr>
              <w:t xml:space="preserve">  无                    </w:t>
            </w:r>
          </w:p>
          <w:p>
            <w:pPr>
              <w:rPr>
                <w:color w:val="FF0000"/>
                <w:szCs w:val="21"/>
              </w:rPr>
            </w:pPr>
          </w:p>
          <w:p>
            <w:pPr>
              <w:numPr>
                <w:ilvl w:val="0"/>
                <w:numId w:val="3"/>
              </w:numPr>
            </w:pPr>
            <w:r>
              <w:rPr>
                <w:rFonts w:hint="eastAsia"/>
                <w:szCs w:val="21"/>
              </w:rPr>
              <w:t>需要从外部供方获得的资源：</w:t>
            </w:r>
            <w:r>
              <w:rPr>
                <w:rFonts w:hint="eastAsia"/>
              </w:rPr>
              <w:t xml:space="preserve"> </w:t>
            </w:r>
            <w:r>
              <w:rPr>
                <w:rFonts w:hint="eastAsia"/>
                <w:u w:val="single"/>
              </w:rPr>
              <w:t xml:space="preserve">   产品运输                                         </w:t>
            </w:r>
            <w:r>
              <w:rPr>
                <w:rFonts w:hint="eastAsia"/>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人员</w:t>
            </w:r>
          </w:p>
        </w:tc>
        <w:tc>
          <w:tcPr>
            <w:tcW w:w="960" w:type="dxa"/>
            <w:vMerge w:val="restart"/>
          </w:tcPr>
          <w:p>
            <w:r>
              <w:rPr>
                <w:rFonts w:hint="eastAsia"/>
                <w:color w:val="000000"/>
                <w:szCs w:val="21"/>
              </w:rPr>
              <w:t>Q7.1.2</w:t>
            </w:r>
          </w:p>
        </w:tc>
        <w:tc>
          <w:tcPr>
            <w:tcW w:w="745" w:type="dxa"/>
          </w:tcPr>
          <w:p>
            <w:r>
              <w:rPr>
                <w:rFonts w:hint="eastAsia"/>
              </w:rPr>
              <w:t>文件名称</w:t>
            </w:r>
          </w:p>
        </w:tc>
        <w:tc>
          <w:tcPr>
            <w:tcW w:w="9259" w:type="dxa"/>
          </w:tcPr>
          <w:p>
            <w:r>
              <w:rPr>
                <w:rFonts w:hint="eastAsia"/>
              </w:rPr>
              <w:t>如：手册第7.1条款、</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21"/>
              </w:rPr>
            </w:pPr>
            <w:r>
              <w:rPr>
                <w:rFonts w:hint="eastAsia"/>
                <w:color w:val="000000"/>
                <w:szCs w:val="21"/>
              </w:rPr>
              <w:t>和最高管理者了解了组织应确定并配备所需的人员情况。</w:t>
            </w:r>
          </w:p>
          <w:p>
            <w:pPr>
              <w:rPr>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92"/>
              <w:gridCol w:w="1292"/>
              <w:gridCol w:w="1292"/>
              <w:gridCol w:w="1292"/>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szCs w:val="21"/>
                    </w:rPr>
                  </w:pPr>
                  <w:r>
                    <w:rPr>
                      <w:rFonts w:hint="eastAsia"/>
                    </w:rPr>
                    <w:t>管理人员数</w:t>
                  </w:r>
                </w:p>
              </w:tc>
              <w:tc>
                <w:tcPr>
                  <w:tcW w:w="1292" w:type="dxa"/>
                </w:tcPr>
                <w:p>
                  <w:pPr>
                    <w:rPr>
                      <w:szCs w:val="21"/>
                    </w:rPr>
                  </w:pPr>
                  <w:r>
                    <w:rPr>
                      <w:rFonts w:hint="eastAsia"/>
                    </w:rPr>
                    <w:t>技术人员数</w:t>
                  </w:r>
                </w:p>
              </w:tc>
              <w:tc>
                <w:tcPr>
                  <w:tcW w:w="1292" w:type="dxa"/>
                </w:tcPr>
                <w:p>
                  <w:pPr>
                    <w:rPr>
                      <w:szCs w:val="21"/>
                    </w:rPr>
                  </w:pPr>
                  <w:r>
                    <w:rPr>
                      <w:rFonts w:hint="eastAsia"/>
                      <w:szCs w:val="21"/>
                    </w:rPr>
                    <w:t>操作人员数</w:t>
                  </w:r>
                </w:p>
              </w:tc>
              <w:tc>
                <w:tcPr>
                  <w:tcW w:w="1292" w:type="dxa"/>
                </w:tcPr>
                <w:p>
                  <w:pPr>
                    <w:rPr>
                      <w:szCs w:val="21"/>
                    </w:rPr>
                  </w:pPr>
                  <w:r>
                    <w:rPr>
                      <w:rFonts w:hint="eastAsia"/>
                      <w:szCs w:val="21"/>
                    </w:rPr>
                    <w:t>临时工数</w:t>
                  </w:r>
                </w:p>
              </w:tc>
              <w:tc>
                <w:tcPr>
                  <w:tcW w:w="1292" w:type="dxa"/>
                </w:tcPr>
                <w:p>
                  <w:pPr>
                    <w:rPr>
                      <w:szCs w:val="21"/>
                    </w:rPr>
                  </w:pPr>
                  <w:r>
                    <w:rPr>
                      <w:rFonts w:hint="eastAsia"/>
                      <w:szCs w:val="21"/>
                    </w:rPr>
                    <w:t>季节工数</w:t>
                  </w:r>
                </w:p>
              </w:tc>
              <w:tc>
                <w:tcPr>
                  <w:tcW w:w="1292" w:type="dxa"/>
                </w:tcPr>
                <w:p>
                  <w:pPr>
                    <w:rPr>
                      <w:szCs w:val="21"/>
                    </w:rPr>
                  </w:pPr>
                  <w:r>
                    <w:rPr>
                      <w:rFonts w:hint="eastAsia"/>
                      <w:szCs w:val="21"/>
                    </w:rPr>
                    <w:t>辅助人员数</w:t>
                  </w:r>
                </w:p>
              </w:tc>
              <w:tc>
                <w:tcPr>
                  <w:tcW w:w="1292" w:type="dxa"/>
                </w:tcPr>
                <w:p>
                  <w:pPr>
                    <w:rPr>
                      <w:szCs w:val="21"/>
                    </w:rPr>
                  </w:pPr>
                  <w:r>
                    <w:rPr>
                      <w:rFonts w:hint="eastAsia"/>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rFonts w:hint="eastAsia" w:eastAsia="宋体"/>
                      <w:color w:val="000000" w:themeColor="text1"/>
                      <w:szCs w:val="21"/>
                      <w:lang w:eastAsia="zh-CN"/>
                    </w:rPr>
                  </w:pPr>
                  <w:r>
                    <w:rPr>
                      <w:rFonts w:hint="eastAsia"/>
                      <w:color w:val="000000" w:themeColor="text1"/>
                      <w:szCs w:val="21"/>
                      <w:lang w:val="en-US" w:eastAsia="zh-CN"/>
                    </w:rPr>
                    <w:t>9</w:t>
                  </w:r>
                </w:p>
              </w:tc>
              <w:tc>
                <w:tcPr>
                  <w:tcW w:w="1292" w:type="dxa"/>
                </w:tcPr>
                <w:p>
                  <w:pPr>
                    <w:rPr>
                      <w:rFonts w:hint="default" w:eastAsia="宋体"/>
                      <w:color w:val="000000" w:themeColor="text1"/>
                      <w:szCs w:val="21"/>
                      <w:lang w:val="en-US" w:eastAsia="zh-CN"/>
                    </w:rPr>
                  </w:pPr>
                  <w:r>
                    <w:rPr>
                      <w:rFonts w:hint="eastAsia"/>
                      <w:color w:val="000000" w:themeColor="text1"/>
                      <w:szCs w:val="21"/>
                      <w:lang w:val="en-US" w:eastAsia="zh-CN"/>
                    </w:rPr>
                    <w:t>17</w:t>
                  </w:r>
                </w:p>
              </w:tc>
              <w:tc>
                <w:tcPr>
                  <w:tcW w:w="1292" w:type="dxa"/>
                </w:tcPr>
                <w:p>
                  <w:pPr>
                    <w:rPr>
                      <w:color w:val="000000" w:themeColor="text1"/>
                      <w:szCs w:val="21"/>
                    </w:rPr>
                  </w:pPr>
                  <w:r>
                    <w:rPr>
                      <w:rFonts w:hint="eastAsia"/>
                      <w:color w:val="000000" w:themeColor="text1"/>
                      <w:szCs w:val="21"/>
                    </w:rPr>
                    <w:t>40</w:t>
                  </w:r>
                </w:p>
              </w:tc>
              <w:tc>
                <w:tcPr>
                  <w:tcW w:w="1292" w:type="dxa"/>
                </w:tcPr>
                <w:p>
                  <w:pPr>
                    <w:rPr>
                      <w:color w:val="000000" w:themeColor="text1"/>
                      <w:szCs w:val="21"/>
                    </w:rPr>
                  </w:pPr>
                  <w:r>
                    <w:rPr>
                      <w:rFonts w:hint="eastAsia"/>
                      <w:color w:val="000000" w:themeColor="text1"/>
                      <w:szCs w:val="21"/>
                    </w:rPr>
                    <w:t>0</w:t>
                  </w:r>
                </w:p>
              </w:tc>
              <w:tc>
                <w:tcPr>
                  <w:tcW w:w="1292" w:type="dxa"/>
                </w:tcPr>
                <w:p>
                  <w:pPr>
                    <w:rPr>
                      <w:color w:val="000000" w:themeColor="text1"/>
                      <w:szCs w:val="21"/>
                    </w:rPr>
                  </w:pPr>
                  <w:r>
                    <w:rPr>
                      <w:rFonts w:hint="eastAsia"/>
                      <w:color w:val="000000" w:themeColor="text1"/>
                      <w:szCs w:val="21"/>
                    </w:rPr>
                    <w:t>0</w:t>
                  </w:r>
                </w:p>
              </w:tc>
              <w:tc>
                <w:tcPr>
                  <w:tcW w:w="1292" w:type="dxa"/>
                </w:tcPr>
                <w:p>
                  <w:pPr>
                    <w:rPr>
                      <w:color w:val="000000" w:themeColor="text1"/>
                      <w:szCs w:val="21"/>
                    </w:rPr>
                  </w:pPr>
                  <w:r>
                    <w:rPr>
                      <w:rFonts w:hint="eastAsia"/>
                      <w:color w:val="000000" w:themeColor="text1"/>
                      <w:szCs w:val="21"/>
                    </w:rPr>
                    <w:t>0</w:t>
                  </w:r>
                </w:p>
              </w:tc>
              <w:tc>
                <w:tcPr>
                  <w:tcW w:w="1292" w:type="dxa"/>
                </w:tcPr>
                <w:p>
                  <w:pPr>
                    <w:rPr>
                      <w:rFonts w:hint="default" w:eastAsia="宋体"/>
                      <w:color w:val="000000" w:themeColor="text1"/>
                      <w:szCs w:val="21"/>
                      <w:lang w:val="en-US" w:eastAsia="zh-CN"/>
                    </w:rPr>
                  </w:pPr>
                  <w:r>
                    <w:rPr>
                      <w:rFonts w:hint="eastAsia"/>
                      <w:color w:val="000000" w:themeColor="text1"/>
                      <w:szCs w:val="21"/>
                      <w:lang w:val="en-US" w:eastAsia="zh-CN"/>
                    </w:rPr>
                    <w:t>65</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 xml:space="preserve"> 组织的知识</w:t>
            </w:r>
          </w:p>
        </w:tc>
        <w:tc>
          <w:tcPr>
            <w:tcW w:w="960" w:type="dxa"/>
            <w:vMerge w:val="restart"/>
          </w:tcPr>
          <w:p>
            <w:r>
              <w:rPr>
                <w:rFonts w:hint="eastAsia"/>
              </w:rPr>
              <w:t xml:space="preserve">Q7.1.6 </w:t>
            </w:r>
          </w:p>
        </w:tc>
        <w:tc>
          <w:tcPr>
            <w:tcW w:w="745" w:type="dxa"/>
          </w:tcPr>
          <w:p>
            <w:r>
              <w:rPr>
                <w:rFonts w:hint="eastAsia"/>
              </w:rPr>
              <w:t>文件名称</w:t>
            </w:r>
          </w:p>
        </w:tc>
        <w:tc>
          <w:tcPr>
            <w:tcW w:w="9259" w:type="dxa"/>
          </w:tcPr>
          <w:p>
            <w:r>
              <w:rPr>
                <w:rFonts w:hint="eastAsia"/>
              </w:rPr>
              <w:t>如：</w:t>
            </w:r>
            <w:r>
              <w:rPr>
                <w:rFonts w:hint="eastAsia"/>
              </w:rPr>
              <w:sym w:font="Wingdings" w:char="00A8"/>
            </w:r>
            <w:r>
              <w:rPr>
                <w:rFonts w:hint="eastAsia"/>
              </w:rPr>
              <w:t>《组织知识控制程序》、</w:t>
            </w:r>
            <w:r>
              <w:rPr>
                <w:rFonts w:hint="eastAsia"/>
              </w:rPr>
              <w:sym w:font="Wingdings" w:char="00FE"/>
            </w:r>
            <w:r>
              <w:rPr>
                <w:rFonts w:hint="eastAsia"/>
              </w:rPr>
              <w:t>手册第7.1.6条款</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组织应确定所需的知识控制</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2480"/>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6" w:type="dxa"/>
                </w:tcPr>
                <w:p/>
              </w:tc>
              <w:tc>
                <w:tcPr>
                  <w:tcW w:w="2480" w:type="dxa"/>
                </w:tcPr>
                <w:p>
                  <w:r>
                    <w:rPr>
                      <w:rFonts w:hint="eastAsia"/>
                    </w:rPr>
                    <w:t>具体内容</w:t>
                  </w:r>
                </w:p>
              </w:tc>
              <w:tc>
                <w:tcPr>
                  <w:tcW w:w="1809" w:type="dxa"/>
                </w:tcPr>
                <w:p>
                  <w:r>
                    <w:rPr>
                      <w:rFonts w:hint="eastAsia"/>
                    </w:rPr>
                    <w:t>收集部门</w:t>
                  </w:r>
                </w:p>
              </w:tc>
              <w:tc>
                <w:tcPr>
                  <w:tcW w:w="1809" w:type="dxa"/>
                </w:tcPr>
                <w:p>
                  <w:r>
                    <w:rPr>
                      <w:rFonts w:hint="eastAsia"/>
                    </w:rPr>
                    <w:t>共享方法</w:t>
                  </w:r>
                </w:p>
              </w:tc>
              <w:tc>
                <w:tcPr>
                  <w:tcW w:w="1809" w:type="dxa"/>
                </w:tcPr>
                <w:p>
                  <w:r>
                    <w:rPr>
                      <w:rFonts w:hint="eastAsia"/>
                    </w:rPr>
                    <w:t>更新频次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r>
                    <w:rPr>
                      <w:rFonts w:hint="eastAsia"/>
                    </w:rPr>
                    <w:t>内部知识</w:t>
                  </w:r>
                </w:p>
              </w:tc>
              <w:tc>
                <w:tcPr>
                  <w:tcW w:w="2480" w:type="dxa"/>
                </w:tcPr>
                <w:p>
                  <w:pPr>
                    <w:spacing w:line="400" w:lineRule="exact"/>
                  </w:pPr>
                  <w:r>
                    <w:rPr>
                      <w:rFonts w:hint="eastAsia"/>
                    </w:rPr>
                    <w:t>生产管理及运行所需的知识（经验、 教训等）等，包括：</w:t>
                  </w:r>
                </w:p>
                <w:p>
                  <w:r>
                    <w:rPr>
                      <w:rFonts w:hint="eastAsia"/>
                    </w:rPr>
                    <w:t>管理理念、管理方法、工作方法、 工艺成果、生产工艺流程、 工艺文件、 设备操作规程、 作业指导书、 检验规范、 检验方法、 图纸、 BOM表、组织内部人员的知识和经验、技能技艺、知识产权、产品故障分析。</w:t>
                  </w:r>
                </w:p>
              </w:tc>
              <w:tc>
                <w:tcPr>
                  <w:tcW w:w="1809" w:type="dxa"/>
                </w:tcPr>
                <w:p>
                  <w:r>
                    <w:rPr>
                      <w:rFonts w:hint="eastAsia"/>
                    </w:rPr>
                    <w:t>公司各部门</w:t>
                  </w:r>
                </w:p>
              </w:tc>
              <w:tc>
                <w:tcPr>
                  <w:tcW w:w="1809" w:type="dxa"/>
                </w:tcPr>
                <w:p>
                  <w:r>
                    <w:rPr>
                      <w:rFonts w:hint="eastAsia"/>
                    </w:rPr>
                    <w:sym w:font="Wingdings" w:char="00FE"/>
                  </w:r>
                  <w:r>
                    <w:rPr>
                      <w:rFonts w:hint="eastAsia"/>
                    </w:rPr>
                    <w:t>交流会议</w:t>
                  </w:r>
                </w:p>
                <w:p>
                  <w:r>
                    <w:rPr>
                      <w:rFonts w:hint="eastAsia"/>
                    </w:rPr>
                    <w:sym w:font="Wingdings" w:char="00FE"/>
                  </w:r>
                  <w:r>
                    <w:rPr>
                      <w:rFonts w:hint="eastAsia"/>
                    </w:rPr>
                    <w:t>工作总结</w:t>
                  </w:r>
                </w:p>
                <w:p>
                  <w:r>
                    <w:rPr>
                      <w:rFonts w:hint="eastAsia"/>
                    </w:rPr>
                    <w:sym w:font="Wingdings" w:char="00FE"/>
                  </w:r>
                  <w:r>
                    <w:rPr>
                      <w:rFonts w:hint="eastAsia"/>
                    </w:rPr>
                    <w:t>辅导</w:t>
                  </w:r>
                </w:p>
                <w:p>
                  <w:r>
                    <w:rPr>
                      <w:rFonts w:hint="eastAsia"/>
                    </w:rPr>
                    <w:sym w:font="Wingdings" w:char="00FE"/>
                  </w:r>
                  <w:r>
                    <w:rPr>
                      <w:rFonts w:hint="eastAsia"/>
                    </w:rPr>
                    <w:t>培训</w:t>
                  </w:r>
                </w:p>
                <w:p>
                  <w:r>
                    <w:rPr>
                      <w:rFonts w:hint="eastAsia"/>
                    </w:rPr>
                    <w:sym w:font="Wingdings" w:char="00FE"/>
                  </w:r>
                  <w:r>
                    <w:rPr>
                      <w:rFonts w:hint="eastAsia"/>
                    </w:rPr>
                    <w:t>微信群</w:t>
                  </w:r>
                </w:p>
              </w:tc>
              <w:tc>
                <w:tcPr>
                  <w:tcW w:w="1809" w:type="dxa"/>
                </w:tcPr>
                <w:p>
                  <w:r>
                    <w:rPr>
                      <w:rFonts w:hint="eastAsia"/>
                    </w:rPr>
                    <w:sym w:font="Wingdings" w:char="00FE"/>
                  </w:r>
                  <w:r>
                    <w:rPr>
                      <w:rFonts w:hint="eastAsia"/>
                    </w:rPr>
                    <w:t>不定期</w:t>
                  </w:r>
                </w:p>
                <w:p>
                  <w:r>
                    <w:rPr>
                      <w:rFonts w:hint="eastAsia"/>
                    </w:rPr>
                    <w:sym w:font="Wingdings" w:char="00A8"/>
                  </w:r>
                  <w:r>
                    <w:rPr>
                      <w:rFonts w:hint="eastAsia"/>
                    </w:rPr>
                    <w:t>每年</w:t>
                  </w:r>
                </w:p>
                <w:p>
                  <w:r>
                    <w:rPr>
                      <w:rFonts w:hint="eastAsia"/>
                    </w:rPr>
                    <w:sym w:font="Wingdings" w:char="00FE"/>
                  </w:r>
                  <w:r>
                    <w:rPr>
                      <w:rFonts w:hint="eastAsia"/>
                    </w:rPr>
                    <w:t>每季度</w:t>
                  </w:r>
                </w:p>
                <w:p>
                  <w:r>
                    <w:rPr>
                      <w:rFonts w:hint="eastAsia"/>
                    </w:rPr>
                    <w:sym w:font="Wingdings" w:char="00FE"/>
                  </w:r>
                  <w:r>
                    <w:rPr>
                      <w:rFonts w:hint="eastAsia"/>
                    </w:rPr>
                    <w:t>每月</w:t>
                  </w:r>
                </w:p>
                <w:p>
                  <w:r>
                    <w:rPr>
                      <w:rFonts w:hint="eastAsia"/>
                    </w:rPr>
                    <w:sym w:font="Wingdings" w:char="00FE"/>
                  </w:r>
                  <w:r>
                    <w:rPr>
                      <w:rFonts w:hint="eastAsia"/>
                    </w:rPr>
                    <w:t>每周例会</w:t>
                  </w:r>
                </w:p>
                <w:p>
                  <w:r>
                    <w:rPr>
                      <w:rFonts w:hint="eastAsia"/>
                    </w:rPr>
                    <w:sym w:font="Wingdings" w:char="00FE"/>
                  </w:r>
                  <w:r>
                    <w:rPr>
                      <w:rFonts w:hint="eastAsia"/>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r>
                    <w:rPr>
                      <w:rFonts w:hint="eastAsia"/>
                    </w:rPr>
                    <w:t>外部知识</w:t>
                  </w:r>
                </w:p>
              </w:tc>
              <w:tc>
                <w:tcPr>
                  <w:tcW w:w="2480" w:type="dxa"/>
                </w:tcPr>
                <w:p>
                  <w:pPr>
                    <w:spacing w:line="400" w:lineRule="exact"/>
                  </w:pPr>
                  <w:r>
                    <w:rPr>
                      <w:rFonts w:hint="eastAsia"/>
                    </w:rPr>
                    <w:t>从顾客、供应商和合作伙伴获取的知识，产品质量控制文件等知识等，包括：</w:t>
                  </w:r>
                </w:p>
                <w:p>
                  <w:pPr>
                    <w:spacing w:line="400" w:lineRule="exact"/>
                  </w:pPr>
                  <w:r>
                    <w:rPr>
                      <w:rFonts w:hint="eastAsia"/>
                    </w:rPr>
                    <w:t>与产品有关的国际标准、国家标准、行业标准和地方标准；与产品有关的环境、职业健康安全管理等方面的法律、法规和其他方面的要求。</w:t>
                  </w:r>
                </w:p>
                <w:p>
                  <w:pPr>
                    <w:spacing w:line="400" w:lineRule="exact"/>
                  </w:pPr>
                  <w:r>
                    <w:rPr>
                      <w:rFonts w:hint="eastAsia"/>
                    </w:rPr>
                    <w:t>从客户、政府、供应商、竞争对手等相关方获取的产品质量标准、环境标准和职业健康安全标准、先进的生产技术、管理方法、管理理念及其他们对产品和企业的期望。</w:t>
                  </w:r>
                </w:p>
              </w:tc>
              <w:tc>
                <w:tcPr>
                  <w:tcW w:w="1809" w:type="dxa"/>
                </w:tcPr>
                <w:p>
                  <w:r>
                    <w:rPr>
                      <w:rFonts w:hint="eastAsia"/>
                    </w:rPr>
                    <w:t>公司各部门</w:t>
                  </w:r>
                </w:p>
              </w:tc>
              <w:tc>
                <w:tcPr>
                  <w:tcW w:w="1809" w:type="dxa"/>
                </w:tcPr>
                <w:p>
                  <w:r>
                    <w:rPr>
                      <w:rFonts w:hint="eastAsia"/>
                    </w:rPr>
                    <w:sym w:font="Wingdings" w:char="00FE"/>
                  </w:r>
                  <w:r>
                    <w:rPr>
                      <w:rFonts w:hint="eastAsia"/>
                    </w:rPr>
                    <w:t>交流会议</w:t>
                  </w:r>
                </w:p>
                <w:p>
                  <w:r>
                    <w:rPr>
                      <w:rFonts w:hint="eastAsia"/>
                    </w:rPr>
                    <w:sym w:font="Wingdings" w:char="00FE"/>
                  </w:r>
                  <w:r>
                    <w:rPr>
                      <w:rFonts w:hint="eastAsia"/>
                    </w:rPr>
                    <w:t>工作总结</w:t>
                  </w:r>
                </w:p>
                <w:p>
                  <w:r>
                    <w:rPr>
                      <w:rFonts w:hint="eastAsia"/>
                    </w:rPr>
                    <w:sym w:font="Wingdings" w:char="00FE"/>
                  </w:r>
                  <w:r>
                    <w:rPr>
                      <w:rFonts w:hint="eastAsia"/>
                    </w:rPr>
                    <w:t>辅导</w:t>
                  </w:r>
                </w:p>
                <w:p>
                  <w:r>
                    <w:rPr>
                      <w:rFonts w:hint="eastAsia"/>
                    </w:rPr>
                    <w:sym w:font="Wingdings" w:char="00FE"/>
                  </w:r>
                  <w:r>
                    <w:rPr>
                      <w:rFonts w:hint="eastAsia"/>
                    </w:rPr>
                    <w:t>培训</w:t>
                  </w:r>
                </w:p>
                <w:p>
                  <w:r>
                    <w:rPr>
                      <w:rFonts w:hint="eastAsia"/>
                    </w:rPr>
                    <w:sym w:font="Wingdings" w:char="00A8"/>
                  </w:r>
                </w:p>
              </w:tc>
              <w:tc>
                <w:tcPr>
                  <w:tcW w:w="1809" w:type="dxa"/>
                </w:tcPr>
                <w:p>
                  <w:r>
                    <w:rPr>
                      <w:rFonts w:hint="eastAsia"/>
                    </w:rPr>
                    <w:sym w:font="Wingdings" w:char="00FE"/>
                  </w:r>
                  <w:r>
                    <w:rPr>
                      <w:rFonts w:hint="eastAsia"/>
                    </w:rPr>
                    <w:t>不定期</w:t>
                  </w:r>
                </w:p>
                <w:p>
                  <w:r>
                    <w:rPr>
                      <w:rFonts w:hint="eastAsia"/>
                    </w:rPr>
                    <w:sym w:font="Wingdings" w:char="00FE"/>
                  </w:r>
                  <w:r>
                    <w:rPr>
                      <w:rFonts w:hint="eastAsia"/>
                    </w:rPr>
                    <w:t>每年</w:t>
                  </w:r>
                </w:p>
                <w:p>
                  <w:r>
                    <w:rPr>
                      <w:rFonts w:hint="eastAsia"/>
                    </w:rPr>
                    <w:sym w:font="Wingdings" w:char="00A8"/>
                  </w:r>
                  <w:r>
                    <w:rPr>
                      <w:rFonts w:hint="eastAsia"/>
                    </w:rPr>
                    <w:t>每季度</w:t>
                  </w:r>
                </w:p>
                <w:p>
                  <w:r>
                    <w:rPr>
                      <w:rFonts w:hint="eastAsia"/>
                    </w:rPr>
                    <w:sym w:font="Wingdings" w:char="00A8"/>
                  </w:r>
                  <w:r>
                    <w:rPr>
                      <w:rFonts w:hint="eastAsia"/>
                    </w:rPr>
                    <w:t>每月</w:t>
                  </w:r>
                </w:p>
                <w:p>
                  <w:r>
                    <w:rPr>
                      <w:rFonts w:hint="eastAsia"/>
                    </w:rPr>
                    <w:sym w:font="Wingdings" w:char="00A8"/>
                  </w:r>
                  <w:r>
                    <w:rPr>
                      <w:rFonts w:hint="eastAsia"/>
                    </w:rPr>
                    <w:t>每天</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pPr>
              <w:rPr>
                <w:highlight w:val="yellow"/>
              </w:rPr>
            </w:pPr>
            <w:r>
              <w:rPr>
                <w:rFonts w:hint="eastAsia"/>
              </w:rPr>
              <w:t>意识</w:t>
            </w:r>
          </w:p>
        </w:tc>
        <w:tc>
          <w:tcPr>
            <w:tcW w:w="960" w:type="dxa"/>
            <w:vMerge w:val="restart"/>
          </w:tcPr>
          <w:p>
            <w:r>
              <w:rPr>
                <w:rFonts w:hint="eastAsia"/>
              </w:rPr>
              <w:t xml:space="preserve">Q7.3  </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《人力资源控制程序》、</w:t>
            </w:r>
            <w:r>
              <w:rPr>
                <w:rFonts w:hint="eastAsia"/>
              </w:rPr>
              <w:sym w:font="Wingdings" w:char="00A8"/>
            </w:r>
            <w:r>
              <w:rPr>
                <w:rFonts w:hint="eastAsia"/>
              </w:rPr>
              <w:t>《能力和意识控制程序》</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 xml:space="preserve">组织工作人员提高质量意识的方式：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需要让员工知晓的内容</w:t>
                  </w:r>
                </w:p>
              </w:tc>
              <w:tc>
                <w:tcPr>
                  <w:tcW w:w="4061" w:type="dxa"/>
                </w:tcPr>
                <w:p>
                  <w:r>
                    <w:rPr>
                      <w:rFonts w:hint="eastAsia"/>
                    </w:rPr>
                    <w:t>方式</w:t>
                  </w:r>
                </w:p>
              </w:tc>
              <w:tc>
                <w:tcPr>
                  <w:tcW w:w="1968" w:type="dxa"/>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质量方针</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相关的质量目标</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对质量管理体系有效性的贡献，包括改进绩效的益处；</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不符合质量管理体系要求的后果</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监视、测量、分析和评价</w:t>
            </w:r>
          </w:p>
          <w:p/>
        </w:tc>
        <w:tc>
          <w:tcPr>
            <w:tcW w:w="960" w:type="dxa"/>
            <w:vMerge w:val="restart"/>
          </w:tcPr>
          <w:p>
            <w:r>
              <w:rPr>
                <w:rFonts w:hint="eastAsia"/>
              </w:rPr>
              <w:t>Q9.1.1</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管理手册9.1.1章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组织对监视和测量的策划</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843"/>
              <w:gridCol w:w="1986"/>
              <w:gridCol w:w="188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监视和测量的对象</w:t>
                  </w:r>
                </w:p>
              </w:tc>
              <w:tc>
                <w:tcPr>
                  <w:tcW w:w="1843" w:type="dxa"/>
                </w:tcPr>
                <w:p>
                  <w:r>
                    <w:rPr>
                      <w:rFonts w:hint="eastAsia"/>
                    </w:rPr>
                    <w:t>监视、测量的方法</w:t>
                  </w:r>
                </w:p>
              </w:tc>
              <w:tc>
                <w:tcPr>
                  <w:tcW w:w="1986" w:type="dxa"/>
                </w:tcPr>
                <w:p>
                  <w:r>
                    <w:rPr>
                      <w:rFonts w:hint="eastAsia"/>
                    </w:rPr>
                    <w:t>监视和测量的频次和时机</w:t>
                  </w:r>
                </w:p>
              </w:tc>
              <w:tc>
                <w:tcPr>
                  <w:tcW w:w="1887" w:type="dxa"/>
                </w:tcPr>
                <w:p>
                  <w:r>
                    <w:rPr>
                      <w:rFonts w:hint="eastAsia"/>
                    </w:rPr>
                    <w:t>分析和评价的方法</w:t>
                  </w:r>
                </w:p>
              </w:tc>
              <w:tc>
                <w:tcPr>
                  <w:tcW w:w="2034" w:type="dxa"/>
                </w:tcPr>
                <w:p>
                  <w:r>
                    <w:rPr>
                      <w:rFonts w:hint="eastAsia"/>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产品</w:t>
                  </w:r>
                </w:p>
              </w:tc>
              <w:tc>
                <w:tcPr>
                  <w:tcW w:w="1843" w:type="dxa"/>
                </w:tcPr>
                <w:p>
                  <w:r>
                    <w:rPr>
                      <w:rFonts w:hint="eastAsia"/>
                    </w:rPr>
                    <w:t>产品（原材料、半成品、成品）检验</w:t>
                  </w:r>
                </w:p>
              </w:tc>
              <w:tc>
                <w:tcPr>
                  <w:tcW w:w="1986" w:type="dxa"/>
                </w:tcPr>
                <w:p>
                  <w:r>
                    <w:rPr>
                      <w:rFonts w:hint="eastAsia"/>
                      <w:color w:val="000000"/>
                      <w:szCs w:val="21"/>
                    </w:rPr>
                    <w:t>□</w:t>
                  </w:r>
                  <w:r>
                    <w:rPr>
                      <w:rFonts w:hint="eastAsia"/>
                    </w:rPr>
                    <w:t>见检验计划/规程</w:t>
                  </w:r>
                  <w:r>
                    <w:rPr>
                      <w:rFonts w:hint="eastAsia"/>
                      <w:color w:val="000000"/>
                      <w:szCs w:val="21"/>
                    </w:rPr>
                    <w:t>☑每批</w:t>
                  </w:r>
                </w:p>
              </w:tc>
              <w:tc>
                <w:tcPr>
                  <w:tcW w:w="1887" w:type="dxa"/>
                </w:tcPr>
                <w:p>
                  <w:r>
                    <w:rPr>
                      <w:rFonts w:hint="eastAsia"/>
                    </w:rPr>
                    <w:t>对产品合格率进行统计，</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过程</w:t>
                  </w:r>
                </w:p>
              </w:tc>
              <w:tc>
                <w:tcPr>
                  <w:tcW w:w="1843" w:type="dxa"/>
                </w:tcPr>
                <w:p>
                  <w:r>
                    <w:rPr>
                      <w:rFonts w:hint="eastAsia"/>
                    </w:rPr>
                    <w:t>现场巡视</w:t>
                  </w:r>
                </w:p>
                <w:p>
                  <w:r>
                    <w:rPr>
                      <w:rFonts w:hint="eastAsia"/>
                    </w:rPr>
                    <w:t>抽查记录</w:t>
                  </w:r>
                </w:p>
              </w:tc>
              <w:tc>
                <w:tcPr>
                  <w:tcW w:w="1986" w:type="dxa"/>
                </w:tcPr>
                <w:p>
                  <w:r>
                    <w:rPr>
                      <w:rFonts w:hint="eastAsia"/>
                      <w:color w:val="000000"/>
                      <w:szCs w:val="21"/>
                    </w:rPr>
                    <w:t>☑</w:t>
                  </w:r>
                  <w:r>
                    <w:rPr>
                      <w:rFonts w:hint="eastAsia"/>
                    </w:rPr>
                    <w:t>定期检查</w:t>
                  </w:r>
                </w:p>
                <w:p>
                  <w:r>
                    <w:rPr>
                      <w:rFonts w:hint="eastAsia"/>
                      <w:color w:val="000000"/>
                      <w:szCs w:val="21"/>
                    </w:rPr>
                    <w:t>☑</w:t>
                  </w:r>
                  <w:r>
                    <w:rPr>
                      <w:rFonts w:hint="eastAsia"/>
                    </w:rPr>
                    <w:t>抽查</w:t>
                  </w:r>
                </w:p>
              </w:tc>
              <w:tc>
                <w:tcPr>
                  <w:tcW w:w="1887" w:type="dxa"/>
                </w:tcPr>
                <w:p>
                  <w:r>
                    <w:rPr>
                      <w:rFonts w:hint="eastAsia"/>
                    </w:rPr>
                    <w:t>对质量目标/Cpk进行统计</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体系</w:t>
                  </w:r>
                </w:p>
              </w:tc>
              <w:tc>
                <w:tcPr>
                  <w:tcW w:w="1843" w:type="dxa"/>
                </w:tcPr>
                <w:p>
                  <w:r>
                    <w:rPr>
                      <w:rFonts w:hint="eastAsia"/>
                    </w:rPr>
                    <w:t>内部审核</w:t>
                  </w:r>
                </w:p>
              </w:tc>
              <w:tc>
                <w:tcPr>
                  <w:tcW w:w="1986" w:type="dxa"/>
                </w:tcPr>
                <w:p>
                  <w:r>
                    <w:rPr>
                      <w:rFonts w:hint="eastAsia"/>
                      <w:color w:val="000000"/>
                      <w:szCs w:val="21"/>
                    </w:rPr>
                    <w:t>□</w:t>
                  </w:r>
                  <w:r>
                    <w:rPr>
                      <w:rFonts w:hint="eastAsia"/>
                    </w:rPr>
                    <w:t>按年度内审计划</w:t>
                  </w:r>
                </w:p>
                <w:p>
                  <w:r>
                    <w:rPr>
                      <w:rFonts w:hint="eastAsia"/>
                      <w:color w:val="000000"/>
                      <w:szCs w:val="21"/>
                    </w:rPr>
                    <w:t>☑</w:t>
                  </w:r>
                  <w:r>
                    <w:rPr>
                      <w:rFonts w:hint="eastAsia"/>
                    </w:rPr>
                    <w:t>每年一次</w:t>
                  </w:r>
                </w:p>
                <w:p>
                  <w:r>
                    <w:rPr>
                      <w:rFonts w:hint="eastAsia"/>
                      <w:color w:val="000000"/>
                      <w:szCs w:val="21"/>
                    </w:rPr>
                    <w:t>□特殊情况增加</w:t>
                  </w:r>
                </w:p>
              </w:tc>
              <w:tc>
                <w:tcPr>
                  <w:tcW w:w="1887" w:type="dxa"/>
                </w:tcPr>
                <w:p>
                  <w:r>
                    <w:rPr>
                      <w:rFonts w:hint="eastAsia"/>
                    </w:rPr>
                    <w:t>对内审不符合项进行分析</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体系有效性</w:t>
                  </w:r>
                </w:p>
              </w:tc>
              <w:tc>
                <w:tcPr>
                  <w:tcW w:w="1843" w:type="dxa"/>
                </w:tcPr>
                <w:p>
                  <w:r>
                    <w:rPr>
                      <w:rFonts w:hint="eastAsia"/>
                    </w:rPr>
                    <w:t>管理评审</w:t>
                  </w:r>
                </w:p>
              </w:tc>
              <w:tc>
                <w:tcPr>
                  <w:tcW w:w="1986" w:type="dxa"/>
                </w:tcPr>
                <w:p>
                  <w:r>
                    <w:rPr>
                      <w:rFonts w:hint="eastAsia"/>
                      <w:color w:val="000000"/>
                      <w:szCs w:val="21"/>
                    </w:rPr>
                    <w:t>☑</w:t>
                  </w:r>
                  <w:r>
                    <w:rPr>
                      <w:rFonts w:hint="eastAsia"/>
                    </w:rPr>
                    <w:t>每年一次</w:t>
                  </w:r>
                </w:p>
                <w:p>
                  <w:r>
                    <w:rPr>
                      <w:rFonts w:hint="eastAsia"/>
                      <w:color w:val="000000"/>
                      <w:szCs w:val="21"/>
                    </w:rPr>
                    <w:t>□特殊情况增加</w:t>
                  </w:r>
                </w:p>
              </w:tc>
              <w:tc>
                <w:tcPr>
                  <w:tcW w:w="1887" w:type="dxa"/>
                </w:tcPr>
                <w:p>
                  <w:r>
                    <w:rPr>
                      <w:rFonts w:hint="eastAsia"/>
                    </w:rPr>
                    <w:t>对QMS存在的需要问题进行分析</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顾客满意</w:t>
                  </w:r>
                </w:p>
              </w:tc>
              <w:tc>
                <w:tcPr>
                  <w:tcW w:w="1843" w:type="dxa"/>
                </w:tcPr>
                <w:p>
                  <w:r>
                    <w:rPr>
                      <w:rFonts w:hint="eastAsia"/>
                    </w:rPr>
                    <w:t>问卷调查</w:t>
                  </w:r>
                </w:p>
              </w:tc>
              <w:tc>
                <w:tcPr>
                  <w:tcW w:w="1986" w:type="dxa"/>
                </w:tcPr>
                <w:p>
                  <w:r>
                    <w:rPr>
                      <w:rFonts w:hint="eastAsia"/>
                      <w:color w:val="000000"/>
                      <w:szCs w:val="21"/>
                    </w:rPr>
                    <w:t>☑</w:t>
                  </w:r>
                  <w:r>
                    <w:rPr>
                      <w:rFonts w:hint="eastAsia"/>
                    </w:rPr>
                    <w:t>每年一次</w:t>
                  </w:r>
                </w:p>
                <w:p>
                  <w:r>
                    <w:rPr>
                      <w:rFonts w:hint="eastAsia"/>
                      <w:color w:val="000000"/>
                      <w:szCs w:val="21"/>
                    </w:rPr>
                    <w:t>□</w:t>
                  </w:r>
                </w:p>
              </w:tc>
              <w:tc>
                <w:tcPr>
                  <w:tcW w:w="1887" w:type="dxa"/>
                </w:tcPr>
                <w:p>
                  <w:r>
                    <w:rPr>
                      <w:rFonts w:hint="eastAsia"/>
                    </w:rPr>
                    <w:t>对顾客满意率进行统计</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分析与评价</w:t>
            </w:r>
          </w:p>
        </w:tc>
        <w:tc>
          <w:tcPr>
            <w:tcW w:w="960" w:type="dxa"/>
            <w:vMerge w:val="restart"/>
          </w:tcPr>
          <w:p>
            <w:r>
              <w:rPr>
                <w:rFonts w:hint="eastAsia"/>
              </w:rPr>
              <w:t>Q9.1.3</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管理手册10.3章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对获得的数据和信息进行分析与评价</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651"/>
              <w:gridCol w:w="1811"/>
              <w:gridCol w:w="1342"/>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分析和评价的对象</w:t>
                  </w:r>
                </w:p>
              </w:tc>
              <w:tc>
                <w:tcPr>
                  <w:tcW w:w="2651" w:type="dxa"/>
                </w:tcPr>
                <w:p>
                  <w:r>
                    <w:rPr>
                      <w:rFonts w:hint="eastAsia"/>
                    </w:rPr>
                    <w:t>分析和评价的方法</w:t>
                  </w:r>
                </w:p>
              </w:tc>
              <w:tc>
                <w:tcPr>
                  <w:tcW w:w="1811" w:type="dxa"/>
                </w:tcPr>
                <w:p>
                  <w:r>
                    <w:rPr>
                      <w:rFonts w:hint="eastAsia"/>
                    </w:rPr>
                    <w:t>分析和评价的频次和时机</w:t>
                  </w:r>
                </w:p>
              </w:tc>
              <w:tc>
                <w:tcPr>
                  <w:tcW w:w="1342" w:type="dxa"/>
                </w:tcPr>
                <w:p>
                  <w:r>
                    <w:rPr>
                      <w:rFonts w:hint="eastAsia"/>
                    </w:rPr>
                    <w:t>使用的统计技术</w:t>
                  </w:r>
                </w:p>
              </w:tc>
              <w:tc>
                <w:tcPr>
                  <w:tcW w:w="1314" w:type="dxa"/>
                </w:tcPr>
                <w:p>
                  <w:r>
                    <w:rPr>
                      <w:rFonts w:hint="eastAsia"/>
                    </w:rPr>
                    <w:t>分析的结果用于改进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产品和服务的符合性</w:t>
                  </w:r>
                </w:p>
              </w:tc>
              <w:tc>
                <w:tcPr>
                  <w:tcW w:w="2651" w:type="dxa"/>
                  <w:shd w:val="clear" w:color="auto" w:fill="auto"/>
                </w:tcPr>
                <w:p>
                  <w:r>
                    <w:rPr>
                      <w:rFonts w:hint="eastAsia"/>
                    </w:rPr>
                    <w:t>对产品合格率进行统计分析，</w:t>
                  </w:r>
                </w:p>
              </w:tc>
              <w:tc>
                <w:tcPr>
                  <w:tcW w:w="1811" w:type="dxa"/>
                  <w:shd w:val="clear" w:color="auto" w:fill="auto"/>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c>
                <w:tcPr>
                  <w:tcW w:w="1342" w:type="dxa"/>
                  <w:shd w:val="clear" w:color="auto" w:fill="auto"/>
                </w:tcPr>
                <w:p>
                  <w:r>
                    <w:rPr>
                      <w:rFonts w:hint="eastAsia"/>
                      <w:color w:val="000000"/>
                      <w:szCs w:val="21"/>
                    </w:rPr>
                    <w:t>□</w:t>
                  </w:r>
                  <w:r>
                    <w:rPr>
                      <w:rFonts w:hint="eastAsia"/>
                    </w:rPr>
                    <w:t>柱状图</w:t>
                  </w:r>
                </w:p>
                <w:p>
                  <w:r>
                    <w:rPr>
                      <w:rFonts w:hint="eastAsia"/>
                      <w:color w:val="000000"/>
                      <w:szCs w:val="21"/>
                    </w:rPr>
                    <w:t>□</w:t>
                  </w:r>
                  <w:r>
                    <w:rPr>
                      <w:rFonts w:hint="eastAsia"/>
                    </w:rPr>
                    <w:t>饼状图</w:t>
                  </w:r>
                </w:p>
                <w:p>
                  <w:r>
                    <w:rPr>
                      <w:rFonts w:hint="eastAsia"/>
                      <w:color w:val="000000"/>
                      <w:szCs w:val="21"/>
                    </w:rPr>
                    <w:t>□</w:t>
                  </w:r>
                  <w:r>
                    <w:rPr>
                      <w:rFonts w:hint="eastAsia"/>
                    </w:rPr>
                    <w:t>鱼刺图</w:t>
                  </w:r>
                </w:p>
              </w:tc>
              <w:tc>
                <w:tcPr>
                  <w:tcW w:w="1314" w:type="dxa"/>
                  <w:shd w:val="clear" w:color="auto" w:fill="auto"/>
                </w:tcPr>
                <w:p>
                  <w:r>
                    <w:rPr>
                      <w:rFonts w:hint="eastAsia"/>
                      <w:color w:val="000000"/>
                      <w:szCs w:val="21"/>
                    </w:rPr>
                    <w:t>☑</w:t>
                  </w:r>
                  <w:r>
                    <w:rPr>
                      <w:rFonts w:hint="eastAsia"/>
                    </w:rPr>
                    <w:t>已用于</w:t>
                  </w:r>
                </w:p>
                <w:p>
                  <w:r>
                    <w:rPr>
                      <w:rFonts w:hint="eastAsia"/>
                      <w:color w:val="000000"/>
                      <w:szCs w:val="21"/>
                    </w:rPr>
                    <w:t>□</w:t>
                  </w:r>
                  <w:r>
                    <w:rPr>
                      <w:rFonts w:hint="eastAsia"/>
                    </w:rPr>
                    <w:t>未用于</w:t>
                  </w:r>
                </w:p>
                <w:p>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顾客满意程度</w:t>
                  </w:r>
                </w:p>
              </w:tc>
              <w:tc>
                <w:tcPr>
                  <w:tcW w:w="2651" w:type="dxa"/>
                  <w:shd w:val="clear" w:color="auto" w:fill="auto"/>
                </w:tcPr>
                <w:p>
                  <w:r>
                    <w:rPr>
                      <w:rFonts w:hint="eastAsia"/>
                    </w:rPr>
                    <w:t>对顾客满意率进行统计</w:t>
                  </w:r>
                </w:p>
              </w:tc>
              <w:tc>
                <w:tcPr>
                  <w:tcW w:w="1811" w:type="dxa"/>
                  <w:shd w:val="clear" w:color="auto" w:fill="auto"/>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c>
                <w:tcPr>
                  <w:tcW w:w="1342" w:type="dxa"/>
                  <w:shd w:val="clear" w:color="auto" w:fill="auto"/>
                </w:tcPr>
                <w:p>
                  <w:r>
                    <w:rPr>
                      <w:rFonts w:hint="eastAsia"/>
                      <w:color w:val="000000"/>
                      <w:szCs w:val="21"/>
                    </w:rPr>
                    <w:t>□</w:t>
                  </w:r>
                  <w:r>
                    <w:rPr>
                      <w:rFonts w:hint="eastAsia"/>
                    </w:rPr>
                    <w:t>柱状图</w:t>
                  </w:r>
                </w:p>
                <w:p>
                  <w:r>
                    <w:rPr>
                      <w:rFonts w:hint="eastAsia"/>
                      <w:color w:val="000000"/>
                      <w:szCs w:val="21"/>
                    </w:rPr>
                    <w:t>□</w:t>
                  </w:r>
                  <w:r>
                    <w:rPr>
                      <w:rFonts w:hint="eastAsia"/>
                    </w:rPr>
                    <w:t>饼状图</w:t>
                  </w:r>
                </w:p>
                <w:p>
                  <w:r>
                    <w:rPr>
                      <w:rFonts w:hint="eastAsia"/>
                      <w:color w:val="000000"/>
                      <w:szCs w:val="21"/>
                    </w:rPr>
                    <w:t>□</w:t>
                  </w:r>
                  <w:r>
                    <w:rPr>
                      <w:rFonts w:hint="eastAsia"/>
                    </w:rPr>
                    <w:t>鱼刺图</w:t>
                  </w:r>
                </w:p>
              </w:tc>
              <w:tc>
                <w:tcPr>
                  <w:tcW w:w="1314" w:type="dxa"/>
                  <w:shd w:val="clear" w:color="auto" w:fill="auto"/>
                </w:tcPr>
                <w:p>
                  <w:r>
                    <w:rPr>
                      <w:rFonts w:hint="eastAsia"/>
                      <w:color w:val="000000"/>
                      <w:szCs w:val="21"/>
                    </w:rPr>
                    <w:t>☑</w:t>
                  </w:r>
                  <w:r>
                    <w:rPr>
                      <w:rFonts w:hint="eastAsia"/>
                    </w:rPr>
                    <w:t>已用于</w:t>
                  </w:r>
                </w:p>
                <w:p>
                  <w:r>
                    <w:rPr>
                      <w:rFonts w:hint="eastAsia"/>
                      <w:color w:val="000000"/>
                      <w:szCs w:val="21"/>
                    </w:rPr>
                    <w:t>□</w:t>
                  </w:r>
                  <w:r>
                    <w:rPr>
                      <w:rFonts w:hint="eastAsia"/>
                    </w:rPr>
                    <w:t>未用于</w:t>
                  </w:r>
                </w:p>
                <w:p>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质量管理体系的绩效和有效性</w:t>
                  </w:r>
                </w:p>
              </w:tc>
              <w:tc>
                <w:tcPr>
                  <w:tcW w:w="2651" w:type="dxa"/>
                  <w:shd w:val="clear" w:color="auto" w:fill="auto"/>
                </w:tcPr>
                <w:p>
                  <w:r>
                    <w:rPr>
                      <w:rFonts w:hint="eastAsia"/>
                    </w:rPr>
                    <w:t>对内审不符合项进行分析</w:t>
                  </w:r>
                </w:p>
              </w:tc>
              <w:tc>
                <w:tcPr>
                  <w:tcW w:w="1811" w:type="dxa"/>
                  <w:shd w:val="clear" w:color="auto" w:fill="auto"/>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c>
                <w:tcPr>
                  <w:tcW w:w="1342" w:type="dxa"/>
                  <w:shd w:val="clear" w:color="auto" w:fill="auto"/>
                </w:tcPr>
                <w:p>
                  <w:r>
                    <w:rPr>
                      <w:rFonts w:hint="eastAsia"/>
                      <w:color w:val="000000"/>
                      <w:szCs w:val="21"/>
                    </w:rPr>
                    <w:t>□</w:t>
                  </w:r>
                  <w:r>
                    <w:rPr>
                      <w:rFonts w:hint="eastAsia"/>
                    </w:rPr>
                    <w:t>柱状图</w:t>
                  </w:r>
                </w:p>
                <w:p>
                  <w:r>
                    <w:rPr>
                      <w:rFonts w:hint="eastAsia"/>
                      <w:color w:val="000000"/>
                      <w:szCs w:val="21"/>
                    </w:rPr>
                    <w:t>□</w:t>
                  </w:r>
                  <w:r>
                    <w:rPr>
                      <w:rFonts w:hint="eastAsia"/>
                    </w:rPr>
                    <w:t>饼状图</w:t>
                  </w:r>
                </w:p>
                <w:p>
                  <w:r>
                    <w:rPr>
                      <w:rFonts w:hint="eastAsia"/>
                      <w:color w:val="000000"/>
                      <w:szCs w:val="21"/>
                    </w:rPr>
                    <w:t>□</w:t>
                  </w:r>
                  <w:r>
                    <w:rPr>
                      <w:rFonts w:hint="eastAsia"/>
                    </w:rPr>
                    <w:t>鱼刺图</w:t>
                  </w:r>
                </w:p>
              </w:tc>
              <w:tc>
                <w:tcPr>
                  <w:tcW w:w="1314" w:type="dxa"/>
                  <w:shd w:val="clear" w:color="auto" w:fill="auto"/>
                </w:tcPr>
                <w:p>
                  <w:r>
                    <w:rPr>
                      <w:rFonts w:hint="eastAsia"/>
                      <w:color w:val="000000"/>
                      <w:szCs w:val="21"/>
                    </w:rPr>
                    <w:t>☑</w:t>
                  </w:r>
                  <w:r>
                    <w:rPr>
                      <w:rFonts w:hint="eastAsia"/>
                    </w:rPr>
                    <w:t>已用于</w:t>
                  </w:r>
                </w:p>
                <w:p>
                  <w:r>
                    <w:rPr>
                      <w:rFonts w:hint="eastAsia"/>
                      <w:color w:val="000000"/>
                      <w:szCs w:val="21"/>
                    </w:rPr>
                    <w:t>□</w:t>
                  </w:r>
                  <w:r>
                    <w:rPr>
                      <w:rFonts w:hint="eastAsia"/>
                    </w:rPr>
                    <w:t>未用于</w:t>
                  </w:r>
                </w:p>
                <w:p>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策划是否得到有效实施</w:t>
                  </w:r>
                </w:p>
              </w:tc>
              <w:tc>
                <w:tcPr>
                  <w:tcW w:w="2651" w:type="dxa"/>
                  <w:shd w:val="clear" w:color="auto" w:fill="auto"/>
                </w:tcPr>
                <w:p>
                  <w:r>
                    <w:rPr>
                      <w:rFonts w:hint="eastAsia"/>
                    </w:rPr>
                    <w:t>对质量目标完成/Cpk进行统计</w:t>
                  </w:r>
                </w:p>
              </w:tc>
              <w:tc>
                <w:tcPr>
                  <w:tcW w:w="1811" w:type="dxa"/>
                  <w:shd w:val="clear" w:color="auto" w:fill="auto"/>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c>
                <w:tcPr>
                  <w:tcW w:w="1342" w:type="dxa"/>
                  <w:shd w:val="clear" w:color="auto" w:fill="auto"/>
                </w:tcPr>
                <w:p>
                  <w:r>
                    <w:rPr>
                      <w:rFonts w:hint="eastAsia"/>
                      <w:color w:val="000000"/>
                      <w:szCs w:val="21"/>
                    </w:rPr>
                    <w:t>□</w:t>
                  </w:r>
                  <w:r>
                    <w:rPr>
                      <w:rFonts w:hint="eastAsia"/>
                    </w:rPr>
                    <w:t>柱状图</w:t>
                  </w:r>
                </w:p>
                <w:p>
                  <w:r>
                    <w:rPr>
                      <w:rFonts w:hint="eastAsia"/>
                      <w:color w:val="000000"/>
                      <w:szCs w:val="21"/>
                    </w:rPr>
                    <w:t>□</w:t>
                  </w:r>
                  <w:r>
                    <w:rPr>
                      <w:rFonts w:hint="eastAsia"/>
                    </w:rPr>
                    <w:t>饼状图</w:t>
                  </w:r>
                </w:p>
                <w:p>
                  <w:r>
                    <w:rPr>
                      <w:rFonts w:hint="eastAsia"/>
                      <w:color w:val="000000"/>
                      <w:szCs w:val="21"/>
                    </w:rPr>
                    <w:t>□</w:t>
                  </w:r>
                  <w:r>
                    <w:rPr>
                      <w:rFonts w:hint="eastAsia"/>
                    </w:rPr>
                    <w:t>SPC</w:t>
                  </w:r>
                </w:p>
              </w:tc>
              <w:tc>
                <w:tcPr>
                  <w:tcW w:w="1314" w:type="dxa"/>
                  <w:shd w:val="clear" w:color="auto" w:fill="auto"/>
                </w:tcPr>
                <w:p>
                  <w:r>
                    <w:rPr>
                      <w:rFonts w:hint="eastAsia"/>
                      <w:color w:val="000000"/>
                      <w:szCs w:val="21"/>
                    </w:rPr>
                    <w:t>☑</w:t>
                  </w:r>
                  <w:r>
                    <w:rPr>
                      <w:rFonts w:hint="eastAsia"/>
                    </w:rPr>
                    <w:t>已用于</w:t>
                  </w:r>
                </w:p>
                <w:p>
                  <w:r>
                    <w:rPr>
                      <w:rFonts w:hint="eastAsia"/>
                      <w:color w:val="000000"/>
                      <w:szCs w:val="21"/>
                    </w:rPr>
                    <w:t>□</w:t>
                  </w:r>
                  <w:r>
                    <w:rPr>
                      <w:rFonts w:hint="eastAsia"/>
                    </w:rPr>
                    <w:t>未用于</w:t>
                  </w:r>
                </w:p>
                <w:p>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针对风险和机遇所采取措施的有效性</w:t>
                  </w:r>
                </w:p>
              </w:tc>
              <w:tc>
                <w:tcPr>
                  <w:tcW w:w="2651" w:type="dxa"/>
                  <w:shd w:val="clear" w:color="auto" w:fill="auto"/>
                </w:tcPr>
                <w:p>
                  <w:r>
                    <w:rPr>
                      <w:rFonts w:hint="eastAsia"/>
                    </w:rPr>
                    <w:t>对质量目标完成进行统计</w:t>
                  </w:r>
                </w:p>
              </w:tc>
              <w:tc>
                <w:tcPr>
                  <w:tcW w:w="1811" w:type="dxa"/>
                  <w:shd w:val="clear" w:color="auto" w:fill="auto"/>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c>
                <w:tcPr>
                  <w:tcW w:w="1342" w:type="dxa"/>
                  <w:shd w:val="clear" w:color="auto" w:fill="auto"/>
                </w:tcPr>
                <w:p>
                  <w:r>
                    <w:rPr>
                      <w:rFonts w:hint="eastAsia"/>
                      <w:color w:val="000000"/>
                      <w:szCs w:val="21"/>
                    </w:rPr>
                    <w:t>□</w:t>
                  </w:r>
                  <w:r>
                    <w:rPr>
                      <w:rFonts w:hint="eastAsia"/>
                    </w:rPr>
                    <w:t>柱状图</w:t>
                  </w:r>
                </w:p>
                <w:p>
                  <w:r>
                    <w:rPr>
                      <w:rFonts w:hint="eastAsia"/>
                      <w:color w:val="000000"/>
                      <w:szCs w:val="21"/>
                    </w:rPr>
                    <w:t>□</w:t>
                  </w:r>
                  <w:r>
                    <w:rPr>
                      <w:rFonts w:hint="eastAsia"/>
                    </w:rPr>
                    <w:t>饼状图</w:t>
                  </w:r>
                </w:p>
              </w:tc>
              <w:tc>
                <w:tcPr>
                  <w:tcW w:w="1314" w:type="dxa"/>
                  <w:shd w:val="clear" w:color="auto" w:fill="auto"/>
                </w:tcPr>
                <w:p>
                  <w:r>
                    <w:rPr>
                      <w:rFonts w:hint="eastAsia"/>
                      <w:color w:val="000000"/>
                      <w:szCs w:val="21"/>
                    </w:rPr>
                    <w:t>☑</w:t>
                  </w:r>
                  <w:r>
                    <w:rPr>
                      <w:rFonts w:hint="eastAsia"/>
                    </w:rPr>
                    <w:t>已用于</w:t>
                  </w:r>
                </w:p>
                <w:p>
                  <w:r>
                    <w:rPr>
                      <w:rFonts w:hint="eastAsia"/>
                      <w:color w:val="000000"/>
                      <w:szCs w:val="21"/>
                    </w:rPr>
                    <w:t>□</w:t>
                  </w:r>
                  <w:r>
                    <w:rPr>
                      <w:rFonts w:hint="eastAsia"/>
                    </w:rPr>
                    <w:t>未用于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外部供方的绩效</w:t>
                  </w:r>
                </w:p>
              </w:tc>
              <w:tc>
                <w:tcPr>
                  <w:tcW w:w="2651" w:type="dxa"/>
                  <w:shd w:val="clear" w:color="auto" w:fill="auto"/>
                </w:tcPr>
                <w:p>
                  <w:r>
                    <w:rPr>
                      <w:rFonts w:hint="eastAsia"/>
                    </w:rPr>
                    <w:t>对外部供方的供货质量和服务质量进行统计分析</w:t>
                  </w:r>
                </w:p>
              </w:tc>
              <w:tc>
                <w:tcPr>
                  <w:tcW w:w="1811" w:type="dxa"/>
                  <w:shd w:val="clear" w:color="auto" w:fill="auto"/>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c>
                <w:tcPr>
                  <w:tcW w:w="1342" w:type="dxa"/>
                  <w:shd w:val="clear" w:color="auto" w:fill="auto"/>
                </w:tcPr>
                <w:p>
                  <w:r>
                    <w:rPr>
                      <w:rFonts w:hint="eastAsia"/>
                      <w:color w:val="000000"/>
                      <w:szCs w:val="21"/>
                    </w:rPr>
                    <w:t>□</w:t>
                  </w:r>
                  <w:r>
                    <w:rPr>
                      <w:rFonts w:hint="eastAsia"/>
                    </w:rPr>
                    <w:t>柱状图</w:t>
                  </w:r>
                </w:p>
                <w:p>
                  <w:r>
                    <w:rPr>
                      <w:rFonts w:hint="eastAsia"/>
                      <w:color w:val="000000"/>
                      <w:szCs w:val="21"/>
                    </w:rPr>
                    <w:t>□</w:t>
                  </w:r>
                  <w:r>
                    <w:rPr>
                      <w:rFonts w:hint="eastAsia"/>
                    </w:rPr>
                    <w:t>饼状图</w:t>
                  </w:r>
                </w:p>
                <w:p>
                  <w:r>
                    <w:rPr>
                      <w:rFonts w:hint="eastAsia"/>
                      <w:color w:val="000000"/>
                      <w:szCs w:val="21"/>
                    </w:rPr>
                    <w:t>□</w:t>
                  </w:r>
                  <w:r>
                    <w:rPr>
                      <w:rFonts w:hint="eastAsia"/>
                    </w:rPr>
                    <w:t>SPC</w:t>
                  </w:r>
                </w:p>
              </w:tc>
              <w:tc>
                <w:tcPr>
                  <w:tcW w:w="1314" w:type="dxa"/>
                  <w:shd w:val="clear" w:color="auto" w:fill="auto"/>
                </w:tcPr>
                <w:p>
                  <w:r>
                    <w:rPr>
                      <w:rFonts w:hint="eastAsia"/>
                      <w:color w:val="000000"/>
                      <w:szCs w:val="21"/>
                    </w:rPr>
                    <w:t>☑</w:t>
                  </w:r>
                  <w:r>
                    <w:rPr>
                      <w:rFonts w:hint="eastAsia"/>
                    </w:rPr>
                    <w:t>已用于</w:t>
                  </w:r>
                </w:p>
                <w:p>
                  <w:r>
                    <w:rPr>
                      <w:rFonts w:hint="eastAsia"/>
                      <w:color w:val="000000"/>
                      <w:szCs w:val="21"/>
                    </w:rPr>
                    <w:t>□</w:t>
                  </w:r>
                  <w:r>
                    <w:rPr>
                      <w:rFonts w:hint="eastAsia"/>
                    </w:rPr>
                    <w:t>未用于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质量管理体系改进的需求</w:t>
                  </w:r>
                </w:p>
              </w:tc>
              <w:tc>
                <w:tcPr>
                  <w:tcW w:w="2651" w:type="dxa"/>
                  <w:shd w:val="clear" w:color="auto" w:fill="auto"/>
                </w:tcPr>
                <w:p>
                  <w:r>
                    <w:rPr>
                      <w:rFonts w:hint="eastAsia"/>
                    </w:rPr>
                    <w:t>对QMS存在的需要问题进行分析</w:t>
                  </w:r>
                </w:p>
              </w:tc>
              <w:tc>
                <w:tcPr>
                  <w:tcW w:w="1811" w:type="dxa"/>
                  <w:shd w:val="clear" w:color="auto" w:fill="auto"/>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c>
                <w:tcPr>
                  <w:tcW w:w="1342" w:type="dxa"/>
                  <w:shd w:val="clear" w:color="auto" w:fill="auto"/>
                </w:tcPr>
                <w:p>
                  <w:r>
                    <w:rPr>
                      <w:rFonts w:hint="eastAsia"/>
                      <w:color w:val="000000"/>
                      <w:szCs w:val="21"/>
                    </w:rPr>
                    <w:t>□</w:t>
                  </w:r>
                  <w:r>
                    <w:rPr>
                      <w:rFonts w:hint="eastAsia"/>
                    </w:rPr>
                    <w:t>柱状图</w:t>
                  </w:r>
                </w:p>
                <w:p>
                  <w:r>
                    <w:rPr>
                      <w:rFonts w:hint="eastAsia"/>
                      <w:color w:val="000000"/>
                      <w:szCs w:val="21"/>
                    </w:rPr>
                    <w:t>□</w:t>
                  </w:r>
                  <w:r>
                    <w:rPr>
                      <w:rFonts w:hint="eastAsia"/>
                    </w:rPr>
                    <w:t>饼状图</w:t>
                  </w:r>
                </w:p>
                <w:p>
                  <w:r>
                    <w:rPr>
                      <w:rFonts w:hint="eastAsia"/>
                      <w:color w:val="000000"/>
                      <w:szCs w:val="21"/>
                    </w:rPr>
                    <w:t>□</w:t>
                  </w:r>
                  <w:r>
                    <w:rPr>
                      <w:rFonts w:hint="eastAsia"/>
                    </w:rPr>
                    <w:t>SPC</w:t>
                  </w:r>
                </w:p>
              </w:tc>
              <w:tc>
                <w:tcPr>
                  <w:tcW w:w="1314" w:type="dxa"/>
                  <w:shd w:val="clear" w:color="auto" w:fill="auto"/>
                </w:tcPr>
                <w:p>
                  <w:r>
                    <w:rPr>
                      <w:rFonts w:hint="eastAsia"/>
                      <w:color w:val="000000"/>
                      <w:szCs w:val="21"/>
                    </w:rPr>
                    <w:t>☑</w:t>
                  </w:r>
                  <w:r>
                    <w:rPr>
                      <w:rFonts w:hint="eastAsia"/>
                    </w:rPr>
                    <w:t>已用于</w:t>
                  </w:r>
                </w:p>
                <w:p>
                  <w:r>
                    <w:rPr>
                      <w:rFonts w:hint="eastAsia"/>
                      <w:color w:val="000000"/>
                      <w:szCs w:val="21"/>
                    </w:rPr>
                    <w:t>□</w:t>
                  </w:r>
                  <w:r>
                    <w:rPr>
                      <w:rFonts w:hint="eastAsia"/>
                    </w:rPr>
                    <w:t>未用于</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管理评审</w:t>
            </w:r>
          </w:p>
        </w:tc>
        <w:tc>
          <w:tcPr>
            <w:tcW w:w="960" w:type="dxa"/>
            <w:vMerge w:val="restart"/>
          </w:tcPr>
          <w:p>
            <w:r>
              <w:rPr>
                <w:rFonts w:hint="eastAsia"/>
              </w:rPr>
              <w:t>Q9.3</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《管理评审控制程序》</w:t>
            </w:r>
            <w:r>
              <w:rPr>
                <w:rFonts w:hint="eastAsia"/>
              </w:rPr>
              <w:sym w:font="Wingdings" w:char="00FE"/>
            </w:r>
            <w:r>
              <w:rPr>
                <w:rFonts w:hint="eastAsia"/>
              </w:rPr>
              <w:t>手册第9.3条款</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2160" w:type="dxa"/>
            <w:vMerge w:val="continue"/>
          </w:tcPr>
          <w:p/>
        </w:tc>
        <w:tc>
          <w:tcPr>
            <w:tcW w:w="960" w:type="dxa"/>
            <w:vMerge w:val="continue"/>
          </w:tcPr>
          <w:p/>
        </w:tc>
        <w:tc>
          <w:tcPr>
            <w:tcW w:w="745" w:type="dxa"/>
          </w:tcPr>
          <w:p>
            <w:pPr>
              <w:widowControl/>
              <w:spacing w:before="40"/>
              <w:jc w:val="left"/>
              <w:rPr>
                <w:color w:val="000000"/>
                <w:szCs w:val="18"/>
              </w:rPr>
            </w:pPr>
          </w:p>
          <w:p>
            <w:r>
              <w:rPr>
                <w:rFonts w:hint="eastAsia"/>
              </w:rPr>
              <w:t>运行证据</w:t>
            </w:r>
          </w:p>
        </w:tc>
        <w:tc>
          <w:tcPr>
            <w:tcW w:w="9259" w:type="dxa"/>
          </w:tcPr>
          <w:p>
            <w:pPr>
              <w:widowControl/>
              <w:spacing w:before="40"/>
              <w:jc w:val="left"/>
              <w:rPr>
                <w:color w:val="000000"/>
                <w:szCs w:val="18"/>
              </w:rPr>
            </w:pPr>
            <w:r>
              <w:rPr>
                <w:rFonts w:hint="eastAsia"/>
                <w:color w:val="000000"/>
                <w:szCs w:val="18"/>
              </w:rPr>
              <w:t>自</w:t>
            </w:r>
            <w:r>
              <w:rPr/>
              <w:sym w:font="Wingdings" w:char="00FE"/>
            </w:r>
            <w:r>
              <w:rPr>
                <w:rFonts w:hint="eastAsia"/>
                <w:color w:val="000000"/>
                <w:szCs w:val="18"/>
              </w:rPr>
              <w:t>管理体系建立后/</w:t>
            </w:r>
            <w:r>
              <w:rPr/>
              <w:sym w:font="Wingdings" w:char="00A8"/>
            </w:r>
            <w:r>
              <w:rPr>
                <w:rFonts w:hint="eastAsia"/>
              </w:rPr>
              <w:t>近一年</w:t>
            </w:r>
            <w:r>
              <w:rPr>
                <w:rFonts w:hint="eastAsia"/>
                <w:color w:val="000000" w:themeColor="text1"/>
                <w:szCs w:val="18"/>
              </w:rPr>
              <w:t>，于</w:t>
            </w:r>
            <w:r>
              <w:rPr>
                <w:rFonts w:hint="eastAsia"/>
                <w:color w:val="000000" w:themeColor="text1"/>
                <w:szCs w:val="18"/>
                <w:u w:val="single"/>
              </w:rPr>
              <w:t xml:space="preserve"> 20</w:t>
            </w:r>
            <w:r>
              <w:rPr>
                <w:rFonts w:hint="eastAsia"/>
                <w:color w:val="000000" w:themeColor="text1"/>
                <w:szCs w:val="18"/>
                <w:u w:val="single"/>
                <w:lang w:val="en-US" w:eastAsia="zh-CN"/>
              </w:rPr>
              <w:t>20</w:t>
            </w:r>
            <w:r>
              <w:rPr>
                <w:color w:val="000000" w:themeColor="text1"/>
                <w:szCs w:val="18"/>
                <w:u w:val="single"/>
              </w:rPr>
              <w:t xml:space="preserve"> </w:t>
            </w:r>
            <w:r>
              <w:rPr>
                <w:rFonts w:hint="eastAsia"/>
                <w:color w:val="000000" w:themeColor="text1"/>
                <w:szCs w:val="18"/>
              </w:rPr>
              <w:t>年</w:t>
            </w:r>
            <w:r>
              <w:rPr>
                <w:rFonts w:hint="eastAsia"/>
                <w:color w:val="000000" w:themeColor="text1"/>
                <w:szCs w:val="18"/>
                <w:u w:val="single"/>
              </w:rPr>
              <w:t xml:space="preserve"> 1</w:t>
            </w:r>
            <w:r>
              <w:rPr>
                <w:color w:val="000000" w:themeColor="text1"/>
                <w:szCs w:val="18"/>
                <w:u w:val="single"/>
              </w:rPr>
              <w:t xml:space="preserve"> </w:t>
            </w:r>
            <w:r>
              <w:rPr>
                <w:rFonts w:hint="eastAsia"/>
                <w:color w:val="000000" w:themeColor="text1"/>
                <w:szCs w:val="18"/>
              </w:rPr>
              <w:t>月</w:t>
            </w:r>
            <w:r>
              <w:rPr>
                <w:rFonts w:hint="eastAsia"/>
                <w:color w:val="000000" w:themeColor="text1"/>
                <w:szCs w:val="18"/>
                <w:u w:val="single"/>
              </w:rPr>
              <w:t xml:space="preserve"> </w:t>
            </w:r>
            <w:r>
              <w:rPr>
                <w:rFonts w:hint="eastAsia"/>
                <w:color w:val="000000" w:themeColor="text1"/>
                <w:szCs w:val="18"/>
                <w:u w:val="single"/>
                <w:lang w:val="en-US" w:eastAsia="zh-CN"/>
              </w:rPr>
              <w:t>15</w:t>
            </w:r>
            <w:r>
              <w:rPr>
                <w:color w:val="000000" w:themeColor="text1"/>
                <w:szCs w:val="18"/>
                <w:u w:val="single"/>
              </w:rPr>
              <w:t xml:space="preserve"> </w:t>
            </w:r>
            <w:r>
              <w:rPr>
                <w:rFonts w:hint="eastAsia"/>
                <w:color w:val="000000" w:themeColor="text1"/>
                <w:szCs w:val="18"/>
              </w:rPr>
              <w:t>日实施</w:t>
            </w:r>
            <w:r>
              <w:rPr>
                <w:rFonts w:hint="eastAsia"/>
                <w:color w:val="000000"/>
                <w:szCs w:val="18"/>
              </w:rPr>
              <w:t>了管理评审；</w:t>
            </w:r>
          </w:p>
          <w:p>
            <w:pPr>
              <w:widowControl/>
              <w:spacing w:before="40"/>
              <w:jc w:val="left"/>
              <w:rPr>
                <w:color w:val="000000"/>
                <w:szCs w:val="18"/>
              </w:rPr>
            </w:pPr>
            <w:r>
              <w:rPr>
                <w:rFonts w:hint="eastAsia"/>
                <w:color w:val="000000"/>
                <w:szCs w:val="18"/>
              </w:rPr>
              <w:t>查看</w:t>
            </w:r>
            <w:r>
              <w:rPr>
                <w:rFonts w:hint="eastAsia"/>
                <w:color w:val="000000"/>
                <w:szCs w:val="21"/>
              </w:rPr>
              <w:t>☑管理评审计划  ☑管理评审记录（工作总结）  □管理评审纪要  ☑管理评审报告</w:t>
            </w:r>
          </w:p>
          <w:p>
            <w:pPr>
              <w:widowControl/>
              <w:spacing w:before="40"/>
              <w:jc w:val="left"/>
              <w:rPr>
                <w:color w:val="000000"/>
                <w:szCs w:val="21"/>
              </w:rPr>
            </w:pP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7"/>
              <w:gridCol w:w="1990"/>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color w:val="000000"/>
                      <w:szCs w:val="21"/>
                    </w:rPr>
                    <w:t>管理评审输入信息</w:t>
                  </w:r>
                </w:p>
              </w:tc>
              <w:tc>
                <w:tcPr>
                  <w:tcW w:w="1990"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列举描述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7" w:type="dxa"/>
                </w:tcPr>
                <w:p>
                  <w:pPr>
                    <w:widowControl/>
                    <w:spacing w:before="40"/>
                    <w:jc w:val="left"/>
                    <w:rPr>
                      <w:color w:val="000000"/>
                      <w:szCs w:val="21"/>
                    </w:rPr>
                  </w:pPr>
                  <w:r>
                    <w:rPr>
                      <w:rFonts w:hint="eastAsia"/>
                    </w:rPr>
                    <w:t>以往管理评审所采取措施的情况；</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color w:val="000000"/>
                      <w:szCs w:val="21"/>
                    </w:rPr>
                    <w:t>增加宣传标语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与质量管理体系相关的内外部因素的变化；</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有人员增加、设施改进变化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7" w:type="dxa"/>
                </w:tcPr>
                <w:p>
                  <w:pPr>
                    <w:widowControl/>
                    <w:spacing w:before="40"/>
                    <w:jc w:val="left"/>
                    <w:rPr>
                      <w:color w:val="000000"/>
                      <w:szCs w:val="21"/>
                    </w:rPr>
                  </w:pPr>
                  <w:r>
                    <w:rPr>
                      <w:rFonts w:hint="eastAsia"/>
                    </w:rPr>
                    <w:t>顾客满意和有关相关方的反馈及趋势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主管部门</w:t>
                  </w:r>
                  <w:r>
                    <w:rPr>
                      <w:color w:val="000000"/>
                      <w:szCs w:val="21"/>
                    </w:rPr>
                    <w:t>日趋严峻的</w:t>
                  </w:r>
                  <w:r>
                    <w:rPr>
                      <w:rFonts w:hint="eastAsia"/>
                      <w:color w:val="000000"/>
                      <w:szCs w:val="21"/>
                    </w:rPr>
                    <w:t>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7" w:type="dxa"/>
                </w:tcPr>
                <w:p>
                  <w:pPr>
                    <w:widowControl/>
                    <w:spacing w:before="40"/>
                    <w:jc w:val="left"/>
                    <w:rPr>
                      <w:color w:val="000000"/>
                      <w:szCs w:val="21"/>
                    </w:rPr>
                  </w:pPr>
                  <w:r>
                    <w:rPr>
                      <w:rFonts w:hint="eastAsia"/>
                    </w:rPr>
                    <w:t>质量目标的实现程度及趋势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highlight w:val="cyan"/>
                    </w:rPr>
                  </w:pPr>
                  <w:r>
                    <w:rPr>
                      <w:rFonts w:hint="eastAsia"/>
                      <w:color w:val="000000"/>
                      <w:szCs w:val="21"/>
                    </w:rPr>
                    <w:t>总质量目标已完成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过程绩效以及产品和服务的合格情况及趋势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进行了分析，无明显变化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7" w:type="dxa"/>
                </w:tcPr>
                <w:p>
                  <w:pPr>
                    <w:widowControl/>
                    <w:spacing w:before="40"/>
                    <w:jc w:val="left"/>
                    <w:rPr>
                      <w:color w:val="000000"/>
                      <w:szCs w:val="21"/>
                    </w:rPr>
                  </w:pPr>
                  <w:r>
                    <w:rPr>
                      <w:rFonts w:hint="eastAsia"/>
                    </w:rPr>
                    <w:t>不合格及纠正措施及趋势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进行了分析，无明显变化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7" w:type="dxa"/>
                </w:tcPr>
                <w:p>
                  <w:pPr>
                    <w:widowControl/>
                    <w:spacing w:before="40"/>
                    <w:jc w:val="left"/>
                    <w:rPr>
                      <w:color w:val="000000"/>
                      <w:szCs w:val="21"/>
                    </w:rPr>
                  </w:pPr>
                  <w:r>
                    <w:rPr>
                      <w:rFonts w:hint="eastAsia"/>
                    </w:rPr>
                    <w:t>监视和测量结果及趋势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highlight w:val="cyan"/>
                    </w:rPr>
                  </w:pPr>
                  <w:r>
                    <w:rPr>
                      <w:rFonts w:hint="eastAsia"/>
                      <w:color w:val="000000"/>
                      <w:szCs w:val="21"/>
                    </w:rPr>
                    <w:t>20</w:t>
                  </w:r>
                  <w:r>
                    <w:rPr>
                      <w:rFonts w:hint="eastAsia"/>
                      <w:color w:val="000000"/>
                      <w:szCs w:val="21"/>
                      <w:lang w:val="en-US" w:eastAsia="zh-CN"/>
                    </w:rPr>
                    <w:t>20</w:t>
                  </w:r>
                  <w:r>
                    <w:rPr>
                      <w:rFonts w:hint="eastAsia"/>
                      <w:color w:val="000000"/>
                      <w:szCs w:val="21"/>
                    </w:rPr>
                    <w:t>年产品检验合格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7" w:type="dxa"/>
                </w:tcPr>
                <w:p>
                  <w:pPr>
                    <w:widowControl/>
                    <w:spacing w:before="40"/>
                    <w:jc w:val="left"/>
                    <w:rPr>
                      <w:color w:val="000000"/>
                      <w:szCs w:val="21"/>
                    </w:rPr>
                  </w:pPr>
                  <w:r>
                    <w:rPr>
                      <w:rFonts w:hint="eastAsia"/>
                    </w:rPr>
                    <w:t>内审、外部审核结果及趋势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20</w:t>
                  </w:r>
                  <w:r>
                    <w:rPr>
                      <w:rFonts w:hint="eastAsia"/>
                      <w:color w:val="000000"/>
                      <w:szCs w:val="21"/>
                      <w:lang w:val="en-US" w:eastAsia="zh-CN"/>
                    </w:rPr>
                    <w:t>20</w:t>
                  </w:r>
                  <w:r>
                    <w:rPr>
                      <w:rFonts w:hint="eastAsia"/>
                      <w:color w:val="000000"/>
                      <w:szCs w:val="21"/>
                    </w:rPr>
                    <w:t>年无处罚、内审无不符合项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外部供方的绩效及趋势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highlight w:val="cyan"/>
                    </w:rPr>
                  </w:pPr>
                  <w:r>
                    <w:rPr>
                      <w:rFonts w:hint="eastAsia"/>
                      <w:color w:val="000000"/>
                      <w:szCs w:val="21"/>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7" w:type="dxa"/>
                </w:tcPr>
                <w:p>
                  <w:pPr>
                    <w:widowControl/>
                    <w:spacing w:before="40"/>
                    <w:jc w:val="left"/>
                    <w:rPr>
                      <w:color w:val="000000"/>
                      <w:szCs w:val="21"/>
                    </w:rPr>
                  </w:pPr>
                  <w:r>
                    <w:rPr>
                      <w:rFonts w:hint="eastAsia"/>
                    </w:rPr>
                    <w:t>资源的充分性；</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应对风险和机遇所采取措施的有效性</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改进的机会</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提高生产自动化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p>
              </w:tc>
              <w:tc>
                <w:tcPr>
                  <w:tcW w:w="1990" w:type="dxa"/>
                </w:tcPr>
                <w:p>
                  <w:pPr>
                    <w:widowControl/>
                    <w:spacing w:before="40"/>
                    <w:jc w:val="left"/>
                    <w:rPr>
                      <w:color w:val="000000"/>
                      <w:szCs w:val="21"/>
                    </w:rPr>
                  </w:pPr>
                </w:p>
              </w:tc>
              <w:tc>
                <w:tcPr>
                  <w:tcW w:w="2816" w:type="dxa"/>
                </w:tcPr>
                <w:p>
                  <w:pPr>
                    <w:widowControl/>
                    <w:spacing w:before="40"/>
                    <w:jc w:val="left"/>
                    <w:rPr>
                      <w:color w:val="000000"/>
                      <w:szCs w:val="21"/>
                    </w:rPr>
                  </w:pPr>
                </w:p>
              </w:tc>
            </w:tr>
          </w:tbl>
          <w:p>
            <w:pPr>
              <w:widowControl/>
              <w:spacing w:before="40"/>
              <w:jc w:val="left"/>
              <w:rPr>
                <w:color w:val="000000"/>
                <w:szCs w:val="21"/>
                <w:highlight w:val="cyan"/>
              </w:rPr>
            </w:pP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462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themeColor="text1"/>
                      <w:szCs w:val="21"/>
                    </w:rPr>
                  </w:pPr>
                  <w:r>
                    <w:rPr>
                      <w:rFonts w:hint="eastAsia"/>
                      <w:color w:val="000000" w:themeColor="text1"/>
                      <w:szCs w:val="18"/>
                    </w:rPr>
                    <w:t>管理评审输出信息</w:t>
                  </w:r>
                </w:p>
              </w:tc>
              <w:tc>
                <w:tcPr>
                  <w:tcW w:w="4620" w:type="dxa"/>
                </w:tcPr>
                <w:p>
                  <w:pPr>
                    <w:widowControl/>
                    <w:spacing w:before="40"/>
                    <w:jc w:val="left"/>
                    <w:rPr>
                      <w:color w:val="000000" w:themeColor="text1"/>
                      <w:szCs w:val="21"/>
                    </w:rPr>
                  </w:pPr>
                  <w:r>
                    <w:rPr>
                      <w:rFonts w:hint="eastAsia"/>
                      <w:color w:val="000000" w:themeColor="text1"/>
                      <w:szCs w:val="21"/>
                    </w:rPr>
                    <w:t>措施描述（</w:t>
                  </w:r>
                  <w:r>
                    <w:rPr>
                      <w:rFonts w:hint="eastAsia"/>
                      <w:b/>
                      <w:bCs/>
                      <w:color w:val="000000" w:themeColor="text1"/>
                      <w:szCs w:val="21"/>
                    </w:rPr>
                    <w:t>举例</w:t>
                  </w:r>
                  <w:r>
                    <w:rPr>
                      <w:rFonts w:hint="eastAsia"/>
                      <w:color w:val="000000" w:themeColor="text1"/>
                      <w:szCs w:val="21"/>
                    </w:rPr>
                    <w:t>）</w:t>
                  </w:r>
                </w:p>
              </w:tc>
              <w:tc>
                <w:tcPr>
                  <w:tcW w:w="2496" w:type="dxa"/>
                </w:tcPr>
                <w:p>
                  <w:pPr>
                    <w:widowControl/>
                    <w:spacing w:before="40"/>
                    <w:jc w:val="left"/>
                    <w:rPr>
                      <w:color w:val="000000" w:themeColor="text1"/>
                      <w:szCs w:val="21"/>
                    </w:rPr>
                  </w:pPr>
                  <w:r>
                    <w:rPr>
                      <w:rFonts w:hint="eastAsia"/>
                      <w:color w:val="000000" w:themeColor="text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themeColor="text1"/>
                      <w:szCs w:val="21"/>
                    </w:rPr>
                  </w:pPr>
                  <w:r>
                    <w:rPr>
                      <w:rFonts w:hint="eastAsia"/>
                      <w:color w:val="000000" w:themeColor="text1"/>
                    </w:rPr>
                    <w:t>改进的机会</w:t>
                  </w:r>
                </w:p>
              </w:tc>
              <w:tc>
                <w:tcPr>
                  <w:tcW w:w="4620" w:type="dxa"/>
                </w:tcPr>
                <w:p>
                  <w:pPr>
                    <w:widowControl/>
                    <w:spacing w:before="40"/>
                    <w:jc w:val="left"/>
                    <w:rPr>
                      <w:color w:val="000000" w:themeColor="text1"/>
                      <w:szCs w:val="21"/>
                    </w:rPr>
                  </w:pPr>
                  <w:r>
                    <w:rPr>
                      <w:rFonts w:hint="eastAsia"/>
                      <w:color w:val="000000" w:themeColor="text1"/>
                      <w:szCs w:val="21"/>
                    </w:rPr>
                    <w:t>提高生产自动化，改善产品质量</w:t>
                  </w:r>
                </w:p>
              </w:tc>
              <w:tc>
                <w:tcPr>
                  <w:tcW w:w="2496"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已落实</w:t>
                  </w:r>
                  <w:r>
                    <w:rPr>
                      <w:rFonts w:hint="eastAsia"/>
                      <w:color w:val="000000" w:themeColor="text1"/>
                      <w:szCs w:val="21"/>
                    </w:rPr>
                    <w:t xml:space="preserve"> </w:t>
                  </w:r>
                  <w:r>
                    <w:rPr>
                      <w:rFonts w:hint="eastAsia"/>
                      <w:color w:val="000000" w:themeColor="text1"/>
                      <w:szCs w:val="21"/>
                    </w:rPr>
                    <w:sym w:font="Wingdings 2" w:char="0052"/>
                  </w:r>
                  <w:r>
                    <w:rPr>
                      <w:rFonts w:hint="eastAsia"/>
                      <w:color w:val="000000" w:themeColor="text1"/>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themeColor="text1"/>
                      <w:szCs w:val="21"/>
                    </w:rPr>
                  </w:pPr>
                  <w:r>
                    <w:rPr>
                      <w:rFonts w:hint="eastAsia"/>
                      <w:color w:val="000000" w:themeColor="text1"/>
                    </w:rPr>
                    <w:t>质量管理体系所需的变更</w:t>
                  </w:r>
                </w:p>
              </w:tc>
              <w:tc>
                <w:tcPr>
                  <w:tcW w:w="4620" w:type="dxa"/>
                </w:tcPr>
                <w:p>
                  <w:pPr>
                    <w:widowControl/>
                    <w:spacing w:before="40"/>
                    <w:jc w:val="left"/>
                    <w:rPr>
                      <w:color w:val="000000" w:themeColor="text1"/>
                      <w:szCs w:val="21"/>
                    </w:rPr>
                  </w:pPr>
                  <w:r>
                    <w:rPr>
                      <w:rFonts w:hint="eastAsia"/>
                      <w:color w:val="000000" w:themeColor="text1"/>
                      <w:szCs w:val="21"/>
                    </w:rPr>
                    <w:t>加强管理体系的宣传</w:t>
                  </w:r>
                </w:p>
              </w:tc>
              <w:tc>
                <w:tcPr>
                  <w:tcW w:w="2496"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已落实</w:t>
                  </w:r>
                  <w:r>
                    <w:rPr>
                      <w:rFonts w:hint="eastAsia"/>
                      <w:color w:val="000000" w:themeColor="text1"/>
                      <w:szCs w:val="21"/>
                    </w:rPr>
                    <w:t xml:space="preserve"> ☑</w:t>
                  </w:r>
                  <w:r>
                    <w:rPr>
                      <w:rFonts w:hint="eastAsia"/>
                      <w:color w:val="000000" w:themeColor="text1"/>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themeColor="text1"/>
                      <w:szCs w:val="21"/>
                    </w:rPr>
                  </w:pPr>
                  <w:r>
                    <w:rPr>
                      <w:rFonts w:hint="eastAsia"/>
                      <w:color w:val="000000" w:themeColor="text1"/>
                    </w:rPr>
                    <w:t>资源需求</w:t>
                  </w:r>
                </w:p>
              </w:tc>
              <w:tc>
                <w:tcPr>
                  <w:tcW w:w="4620" w:type="dxa"/>
                </w:tcPr>
                <w:p>
                  <w:pPr>
                    <w:widowControl/>
                    <w:spacing w:before="40"/>
                    <w:jc w:val="left"/>
                    <w:rPr>
                      <w:color w:val="000000" w:themeColor="text1"/>
                      <w:szCs w:val="21"/>
                    </w:rPr>
                  </w:pPr>
                </w:p>
              </w:tc>
              <w:tc>
                <w:tcPr>
                  <w:tcW w:w="2496" w:type="dxa"/>
                </w:tcPr>
                <w:p>
                  <w:pPr>
                    <w:widowControl/>
                    <w:spacing w:before="40"/>
                    <w:jc w:val="left"/>
                    <w:rPr>
                      <w:color w:val="000000" w:themeColor="text1"/>
                      <w:szCs w:val="21"/>
                    </w:rPr>
                  </w:pPr>
                  <w:r>
                    <w:rPr>
                      <w:rFonts w:hint="eastAsia"/>
                      <w:color w:val="000000" w:themeColor="text1"/>
                      <w:szCs w:val="21"/>
                    </w:rPr>
                    <w:sym w:font="Wingdings 2" w:char="0052"/>
                  </w:r>
                  <w:r>
                    <w:rPr>
                      <w:rFonts w:hint="eastAsia"/>
                      <w:color w:val="000000" w:themeColor="text1"/>
                    </w:rPr>
                    <w:t>已落实</w:t>
                  </w:r>
                  <w:r>
                    <w:rPr>
                      <w:rFonts w:hint="eastAsia"/>
                      <w:color w:val="000000" w:themeColor="text1"/>
                      <w:szCs w:val="21"/>
                    </w:rPr>
                    <w:t xml:space="preserve"> □</w:t>
                  </w:r>
                  <w:r>
                    <w:rPr>
                      <w:rFonts w:hint="eastAsia"/>
                      <w:color w:val="000000" w:themeColor="text1"/>
                    </w:rPr>
                    <w:t>已部分落实</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改进</w:t>
            </w:r>
          </w:p>
        </w:tc>
        <w:tc>
          <w:tcPr>
            <w:tcW w:w="960" w:type="dxa"/>
            <w:vMerge w:val="restart"/>
          </w:tcPr>
          <w:p>
            <w:r>
              <w:rPr>
                <w:rFonts w:hint="eastAsia"/>
              </w:rPr>
              <w:t>Q10.1</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管理手册10.1章</w:t>
            </w:r>
          </w:p>
        </w:tc>
        <w:tc>
          <w:tcPr>
            <w:tcW w:w="1585" w:type="dxa"/>
            <w:vMerge w:val="restart"/>
          </w:tcPr>
          <w:p>
            <w:r>
              <w:rPr/>
              <w:sym w:font="Wingdings" w:char="00FE"/>
            </w:r>
            <w:r>
              <w:rPr>
                <w:rFonts w:hint="eastAsia"/>
              </w:rPr>
              <w:t>符合</w:t>
            </w:r>
          </w:p>
          <w:p>
            <w:r>
              <w:rPr/>
              <w:sym w:font="Wingdings" w:char="00A8"/>
            </w:r>
            <w:r>
              <w:rPr>
                <w:rFonts w:hint="eastAsia"/>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 xml:space="preserve">组织确定和选择了改进机会，并采取必要措施，以满足顾客要求和增强顾客满意。 </w:t>
            </w:r>
          </w:p>
          <w:p>
            <w:r>
              <w:rPr>
                <w:rFonts w:hint="eastAsia"/>
              </w:rPr>
              <w:t xml:space="preserve">这包括： </w:t>
            </w:r>
          </w:p>
          <w:p>
            <w:r>
              <w:rPr>
                <w:rFonts w:hint="eastAsia"/>
              </w:rPr>
              <w:sym w:font="Wingdings" w:char="00FE"/>
            </w:r>
            <w:r>
              <w:rPr>
                <w:rFonts w:hint="eastAsia"/>
              </w:rPr>
              <w:t xml:space="preserve">改进产品和服务，以满足要求并应对未来的需求和期望； </w:t>
            </w:r>
          </w:p>
          <w:p>
            <w:r>
              <w:rPr>
                <w:rFonts w:hint="eastAsia"/>
              </w:rPr>
              <w:sym w:font="Wingdings" w:char="00FE"/>
            </w:r>
            <w:r>
              <w:rPr>
                <w:rFonts w:hint="eastAsia"/>
              </w:rPr>
              <w:t xml:space="preserve">纠正、预防或减少不利影响； </w:t>
            </w:r>
          </w:p>
          <w:p>
            <w:r>
              <w:rPr>
                <w:rFonts w:hint="eastAsia"/>
              </w:rPr>
              <w:sym w:font="Wingdings" w:char="00FE"/>
            </w:r>
            <w:r>
              <w:rPr>
                <w:rFonts w:hint="eastAsia"/>
              </w:rPr>
              <w:t xml:space="preserve">改进质量管理体系的绩效和有效性。 </w:t>
            </w:r>
          </w:p>
          <w:p/>
          <w:p>
            <w:r>
              <w:rPr>
                <w:rFonts w:hint="eastAsia"/>
              </w:rPr>
              <w:t xml:space="preserve">改进包括：纠正、纠正措施、持续改进、突破性变革、创新和重组。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10.3 持续改进</w:t>
            </w:r>
          </w:p>
          <w:p/>
        </w:tc>
        <w:tc>
          <w:tcPr>
            <w:tcW w:w="960" w:type="dxa"/>
            <w:vMerge w:val="restart"/>
          </w:tcPr>
          <w:p>
            <w:r>
              <w:rPr>
                <w:rFonts w:hint="eastAsia"/>
              </w:rPr>
              <w:t>Q10.3</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管理手册10.3章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 xml:space="preserve">组织已持续改进质量管理体系的适宜性、充分性和有效性。 </w:t>
            </w:r>
          </w:p>
          <w:p>
            <w:r>
              <w:rPr>
                <w:rFonts w:hint="eastAsia"/>
              </w:rPr>
              <w:t>组织考虑了分析和评价的结果以及管理评审的输出，确定是否存在需求或机遇，这些需求或机遇应作为持续改进的一部分加以应对。</w:t>
            </w:r>
          </w:p>
          <w:p/>
          <w:p>
            <w:r>
              <w:rPr>
                <w:rFonts w:hint="eastAsia"/>
              </w:rPr>
              <w:sym w:font="Wingdings" w:char="00FE"/>
            </w:r>
            <w:r>
              <w:rPr>
                <w:rFonts w:hint="eastAsia"/>
              </w:rPr>
              <w:t xml:space="preserve"> 管理评审改进措施已落实</w:t>
            </w:r>
          </w:p>
          <w:p>
            <w:pPr>
              <w:rPr>
                <w:u w:val="single"/>
              </w:rPr>
            </w:pPr>
            <w:r>
              <w:rPr>
                <w:rFonts w:hint="eastAsia"/>
              </w:rPr>
              <w:sym w:font="Wingdings" w:char="00A8"/>
            </w:r>
            <w:r>
              <w:rPr>
                <w:rFonts w:hint="eastAsia"/>
              </w:rPr>
              <w:t xml:space="preserve"> 管理评审改进措施未落实的原因：</w:t>
            </w:r>
            <w:r>
              <w:rPr>
                <w:rFonts w:hint="eastAsia"/>
                <w:u w:val="single"/>
              </w:rPr>
              <w:t xml:space="preserve">                              </w:t>
            </w:r>
          </w:p>
          <w:p/>
        </w:tc>
        <w:tc>
          <w:tcPr>
            <w:tcW w:w="1585" w:type="dxa"/>
            <w:vMerge w:val="continue"/>
          </w:tcPr>
          <w:p/>
        </w:tc>
      </w:tr>
    </w:tbl>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omic Sans MS">
    <w:panose1 w:val="030F0702030302020204"/>
    <w:charset w:val="00"/>
    <w:family w:val="script"/>
    <w:pitch w:val="default"/>
    <w:sig w:usb0="00000287" w:usb1="00000013" w:usb2="00000000" w:usb3="00000000" w:csb0="2000009F" w:csb1="00000000"/>
  </w:font>
  <w:font w:name="DFKai-SB">
    <w:altName w:val="Microsoft JhengHei Light"/>
    <w:panose1 w:val="00000000000000000000"/>
    <w:charset w:val="88"/>
    <w:family w:val="script"/>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94F9"/>
    <w:multiLevelType w:val="singleLevel"/>
    <w:tmpl w:val="19E194F9"/>
    <w:lvl w:ilvl="0" w:tentative="0">
      <w:start w:val="1"/>
      <w:numFmt w:val="lowerLetter"/>
      <w:lvlText w:val="%1)"/>
      <w:lvlJc w:val="left"/>
      <w:pPr>
        <w:tabs>
          <w:tab w:val="left" w:pos="312"/>
        </w:tabs>
      </w:pPr>
    </w:lvl>
  </w:abstractNum>
  <w:abstractNum w:abstractNumId="1">
    <w:nsid w:val="32E83675"/>
    <w:multiLevelType w:val="multilevel"/>
    <w:tmpl w:val="32E8367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4405F18"/>
    <w:multiLevelType w:val="multilevel"/>
    <w:tmpl w:val="54405F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27CFD"/>
    <w:rsid w:val="0003373A"/>
    <w:rsid w:val="000400E2"/>
    <w:rsid w:val="00040B40"/>
    <w:rsid w:val="00054404"/>
    <w:rsid w:val="00062E46"/>
    <w:rsid w:val="0006388D"/>
    <w:rsid w:val="0009264B"/>
    <w:rsid w:val="000B21C8"/>
    <w:rsid w:val="000C1B6A"/>
    <w:rsid w:val="000D376D"/>
    <w:rsid w:val="000D4B06"/>
    <w:rsid w:val="000E6B21"/>
    <w:rsid w:val="00104DC9"/>
    <w:rsid w:val="00107F99"/>
    <w:rsid w:val="00124801"/>
    <w:rsid w:val="00140B46"/>
    <w:rsid w:val="00152883"/>
    <w:rsid w:val="001576A4"/>
    <w:rsid w:val="001613B1"/>
    <w:rsid w:val="00163949"/>
    <w:rsid w:val="00174999"/>
    <w:rsid w:val="0019474A"/>
    <w:rsid w:val="001950B3"/>
    <w:rsid w:val="001A2607"/>
    <w:rsid w:val="001A2D7F"/>
    <w:rsid w:val="001B15AF"/>
    <w:rsid w:val="001F05AB"/>
    <w:rsid w:val="001F05ED"/>
    <w:rsid w:val="0021362B"/>
    <w:rsid w:val="00221D6C"/>
    <w:rsid w:val="00226F5E"/>
    <w:rsid w:val="00230A8A"/>
    <w:rsid w:val="00241128"/>
    <w:rsid w:val="00252120"/>
    <w:rsid w:val="002939AD"/>
    <w:rsid w:val="002955F8"/>
    <w:rsid w:val="002A4899"/>
    <w:rsid w:val="002B5153"/>
    <w:rsid w:val="00314AF6"/>
    <w:rsid w:val="00326FC7"/>
    <w:rsid w:val="00333738"/>
    <w:rsid w:val="00334820"/>
    <w:rsid w:val="00337922"/>
    <w:rsid w:val="00340867"/>
    <w:rsid w:val="0034330B"/>
    <w:rsid w:val="00363719"/>
    <w:rsid w:val="00363B2F"/>
    <w:rsid w:val="00380837"/>
    <w:rsid w:val="003A198A"/>
    <w:rsid w:val="003C6C7F"/>
    <w:rsid w:val="003E6540"/>
    <w:rsid w:val="003E7AFD"/>
    <w:rsid w:val="00402365"/>
    <w:rsid w:val="00410914"/>
    <w:rsid w:val="00461363"/>
    <w:rsid w:val="00481CF7"/>
    <w:rsid w:val="0048201E"/>
    <w:rsid w:val="00482117"/>
    <w:rsid w:val="00483340"/>
    <w:rsid w:val="004844BC"/>
    <w:rsid w:val="004914D3"/>
    <w:rsid w:val="0050246D"/>
    <w:rsid w:val="00520062"/>
    <w:rsid w:val="00520A0B"/>
    <w:rsid w:val="00536930"/>
    <w:rsid w:val="005409A6"/>
    <w:rsid w:val="00547BFD"/>
    <w:rsid w:val="00564E53"/>
    <w:rsid w:val="0057302C"/>
    <w:rsid w:val="0057560B"/>
    <w:rsid w:val="005918CB"/>
    <w:rsid w:val="005A272F"/>
    <w:rsid w:val="005D096A"/>
    <w:rsid w:val="005D5659"/>
    <w:rsid w:val="005D74E9"/>
    <w:rsid w:val="005E20F1"/>
    <w:rsid w:val="005E6873"/>
    <w:rsid w:val="00600C20"/>
    <w:rsid w:val="006026E3"/>
    <w:rsid w:val="00606116"/>
    <w:rsid w:val="0060758E"/>
    <w:rsid w:val="006133A1"/>
    <w:rsid w:val="0062738F"/>
    <w:rsid w:val="0063279F"/>
    <w:rsid w:val="00644FE2"/>
    <w:rsid w:val="0064751A"/>
    <w:rsid w:val="00650138"/>
    <w:rsid w:val="00652C92"/>
    <w:rsid w:val="006550E9"/>
    <w:rsid w:val="0067640C"/>
    <w:rsid w:val="00693D07"/>
    <w:rsid w:val="00696185"/>
    <w:rsid w:val="006A2626"/>
    <w:rsid w:val="006C0EB2"/>
    <w:rsid w:val="006E59AE"/>
    <w:rsid w:val="006E678B"/>
    <w:rsid w:val="006E7B1D"/>
    <w:rsid w:val="00707B8A"/>
    <w:rsid w:val="007116C9"/>
    <w:rsid w:val="00715555"/>
    <w:rsid w:val="007504D2"/>
    <w:rsid w:val="007757F3"/>
    <w:rsid w:val="00792035"/>
    <w:rsid w:val="007A707A"/>
    <w:rsid w:val="007B5370"/>
    <w:rsid w:val="007C1B48"/>
    <w:rsid w:val="007E3B15"/>
    <w:rsid w:val="007E4EB1"/>
    <w:rsid w:val="007E6AEB"/>
    <w:rsid w:val="007F456E"/>
    <w:rsid w:val="0081628A"/>
    <w:rsid w:val="00826429"/>
    <w:rsid w:val="00832FBA"/>
    <w:rsid w:val="0083559E"/>
    <w:rsid w:val="00843362"/>
    <w:rsid w:val="00856B0D"/>
    <w:rsid w:val="00865758"/>
    <w:rsid w:val="0087419F"/>
    <w:rsid w:val="00883B0C"/>
    <w:rsid w:val="008973EE"/>
    <w:rsid w:val="008A0A62"/>
    <w:rsid w:val="008B5B52"/>
    <w:rsid w:val="008C6CE1"/>
    <w:rsid w:val="008D0533"/>
    <w:rsid w:val="00913FC9"/>
    <w:rsid w:val="00942FC7"/>
    <w:rsid w:val="00957DDC"/>
    <w:rsid w:val="0096410F"/>
    <w:rsid w:val="00966FF4"/>
    <w:rsid w:val="00971600"/>
    <w:rsid w:val="0098419E"/>
    <w:rsid w:val="00986DA9"/>
    <w:rsid w:val="009973B4"/>
    <w:rsid w:val="009A07D7"/>
    <w:rsid w:val="009A64CA"/>
    <w:rsid w:val="009C28C1"/>
    <w:rsid w:val="009F194A"/>
    <w:rsid w:val="009F357D"/>
    <w:rsid w:val="009F5EE3"/>
    <w:rsid w:val="009F7EED"/>
    <w:rsid w:val="00A134F5"/>
    <w:rsid w:val="00A368E3"/>
    <w:rsid w:val="00A5136C"/>
    <w:rsid w:val="00A561A2"/>
    <w:rsid w:val="00A656AE"/>
    <w:rsid w:val="00A7390A"/>
    <w:rsid w:val="00A80636"/>
    <w:rsid w:val="00A85431"/>
    <w:rsid w:val="00A862BF"/>
    <w:rsid w:val="00AA74F2"/>
    <w:rsid w:val="00AB0A29"/>
    <w:rsid w:val="00AF0AAB"/>
    <w:rsid w:val="00B218CA"/>
    <w:rsid w:val="00B31CAB"/>
    <w:rsid w:val="00B31FB2"/>
    <w:rsid w:val="00B524DD"/>
    <w:rsid w:val="00B5638B"/>
    <w:rsid w:val="00B638AC"/>
    <w:rsid w:val="00B94BCA"/>
    <w:rsid w:val="00BA12C6"/>
    <w:rsid w:val="00BB441E"/>
    <w:rsid w:val="00BD2121"/>
    <w:rsid w:val="00BE1024"/>
    <w:rsid w:val="00BE6591"/>
    <w:rsid w:val="00BF2AE2"/>
    <w:rsid w:val="00BF597E"/>
    <w:rsid w:val="00BF70CC"/>
    <w:rsid w:val="00C33B74"/>
    <w:rsid w:val="00C51A36"/>
    <w:rsid w:val="00C55228"/>
    <w:rsid w:val="00C55EBC"/>
    <w:rsid w:val="00C63768"/>
    <w:rsid w:val="00CB1F88"/>
    <w:rsid w:val="00CC12E3"/>
    <w:rsid w:val="00CC3218"/>
    <w:rsid w:val="00CE315A"/>
    <w:rsid w:val="00D04C87"/>
    <w:rsid w:val="00D052F9"/>
    <w:rsid w:val="00D06F59"/>
    <w:rsid w:val="00D10BF8"/>
    <w:rsid w:val="00D11FA6"/>
    <w:rsid w:val="00D2392F"/>
    <w:rsid w:val="00D30045"/>
    <w:rsid w:val="00D52CFF"/>
    <w:rsid w:val="00D54A45"/>
    <w:rsid w:val="00D82240"/>
    <w:rsid w:val="00D8388C"/>
    <w:rsid w:val="00DA422B"/>
    <w:rsid w:val="00DB6ED2"/>
    <w:rsid w:val="00DE51B2"/>
    <w:rsid w:val="00E16139"/>
    <w:rsid w:val="00E27F9A"/>
    <w:rsid w:val="00E6224C"/>
    <w:rsid w:val="00EB0164"/>
    <w:rsid w:val="00EB3BA5"/>
    <w:rsid w:val="00EB64DF"/>
    <w:rsid w:val="00EC65E5"/>
    <w:rsid w:val="00ED0F62"/>
    <w:rsid w:val="00EE4BEA"/>
    <w:rsid w:val="00EE609C"/>
    <w:rsid w:val="00F1069E"/>
    <w:rsid w:val="00F47A3F"/>
    <w:rsid w:val="00F57FB8"/>
    <w:rsid w:val="00F727B2"/>
    <w:rsid w:val="00FA05AF"/>
    <w:rsid w:val="00FB264F"/>
    <w:rsid w:val="00FB4DF6"/>
    <w:rsid w:val="00FC304B"/>
    <w:rsid w:val="00FC7CA1"/>
    <w:rsid w:val="00FE1EEC"/>
    <w:rsid w:val="00FE6AC8"/>
    <w:rsid w:val="00FF7401"/>
    <w:rsid w:val="01260C71"/>
    <w:rsid w:val="01A321D9"/>
    <w:rsid w:val="01E27364"/>
    <w:rsid w:val="01FE18C8"/>
    <w:rsid w:val="02C75A20"/>
    <w:rsid w:val="032F5195"/>
    <w:rsid w:val="03A0688A"/>
    <w:rsid w:val="03A32F8E"/>
    <w:rsid w:val="03AB4A3B"/>
    <w:rsid w:val="03AC3D8E"/>
    <w:rsid w:val="03CE483E"/>
    <w:rsid w:val="03CF54E8"/>
    <w:rsid w:val="0405614C"/>
    <w:rsid w:val="04883DB3"/>
    <w:rsid w:val="04981EC9"/>
    <w:rsid w:val="04FE07AC"/>
    <w:rsid w:val="050D3D1E"/>
    <w:rsid w:val="056577F0"/>
    <w:rsid w:val="05705C5F"/>
    <w:rsid w:val="057753FF"/>
    <w:rsid w:val="05A05014"/>
    <w:rsid w:val="05B44859"/>
    <w:rsid w:val="05D4332F"/>
    <w:rsid w:val="05F6270F"/>
    <w:rsid w:val="0605101B"/>
    <w:rsid w:val="061B4460"/>
    <w:rsid w:val="063554F0"/>
    <w:rsid w:val="06444A1B"/>
    <w:rsid w:val="067B702D"/>
    <w:rsid w:val="06994A8D"/>
    <w:rsid w:val="06AA7E97"/>
    <w:rsid w:val="06ED612A"/>
    <w:rsid w:val="07FD44A3"/>
    <w:rsid w:val="081E2104"/>
    <w:rsid w:val="086B3934"/>
    <w:rsid w:val="08761C7A"/>
    <w:rsid w:val="08767210"/>
    <w:rsid w:val="08851DD7"/>
    <w:rsid w:val="08C22483"/>
    <w:rsid w:val="08ED1EE8"/>
    <w:rsid w:val="09005957"/>
    <w:rsid w:val="094663BE"/>
    <w:rsid w:val="096333C5"/>
    <w:rsid w:val="09933EF9"/>
    <w:rsid w:val="09AA0CA5"/>
    <w:rsid w:val="09FA6045"/>
    <w:rsid w:val="0A0F142E"/>
    <w:rsid w:val="0A1C56C1"/>
    <w:rsid w:val="0A8709B9"/>
    <w:rsid w:val="0A904067"/>
    <w:rsid w:val="0AAB13CF"/>
    <w:rsid w:val="0ACA6ED2"/>
    <w:rsid w:val="0AEF4D8D"/>
    <w:rsid w:val="0B2B0BD0"/>
    <w:rsid w:val="0BE64DFF"/>
    <w:rsid w:val="0C5423F7"/>
    <w:rsid w:val="0C8009B8"/>
    <w:rsid w:val="0CC102DA"/>
    <w:rsid w:val="0D181113"/>
    <w:rsid w:val="0D1E4D9B"/>
    <w:rsid w:val="0D270A06"/>
    <w:rsid w:val="0D4D1326"/>
    <w:rsid w:val="0D6A2C36"/>
    <w:rsid w:val="0DB35CC0"/>
    <w:rsid w:val="0E385B07"/>
    <w:rsid w:val="0E49595F"/>
    <w:rsid w:val="0EB8524B"/>
    <w:rsid w:val="0F86648B"/>
    <w:rsid w:val="0F9C35C1"/>
    <w:rsid w:val="0FFA42BF"/>
    <w:rsid w:val="10062D9E"/>
    <w:rsid w:val="100B6D7F"/>
    <w:rsid w:val="100D075A"/>
    <w:rsid w:val="106A3497"/>
    <w:rsid w:val="108219C2"/>
    <w:rsid w:val="10991918"/>
    <w:rsid w:val="10A120FB"/>
    <w:rsid w:val="10AB5B5F"/>
    <w:rsid w:val="10C112A0"/>
    <w:rsid w:val="10C11C69"/>
    <w:rsid w:val="10DD2E35"/>
    <w:rsid w:val="11536201"/>
    <w:rsid w:val="115D3DB9"/>
    <w:rsid w:val="119408E4"/>
    <w:rsid w:val="119E3FF4"/>
    <w:rsid w:val="11BD2BE2"/>
    <w:rsid w:val="11BE2038"/>
    <w:rsid w:val="11DC0AC4"/>
    <w:rsid w:val="11E2439D"/>
    <w:rsid w:val="124C3B13"/>
    <w:rsid w:val="12563B2D"/>
    <w:rsid w:val="12A2571D"/>
    <w:rsid w:val="12A42EA7"/>
    <w:rsid w:val="12A506D3"/>
    <w:rsid w:val="13296CDD"/>
    <w:rsid w:val="134E7573"/>
    <w:rsid w:val="13890C2B"/>
    <w:rsid w:val="13A420AC"/>
    <w:rsid w:val="13C11723"/>
    <w:rsid w:val="13C31FF4"/>
    <w:rsid w:val="13EB79B2"/>
    <w:rsid w:val="145B46D3"/>
    <w:rsid w:val="14BA1243"/>
    <w:rsid w:val="14C400FD"/>
    <w:rsid w:val="14EF5EB2"/>
    <w:rsid w:val="14F1297E"/>
    <w:rsid w:val="14F26225"/>
    <w:rsid w:val="15023387"/>
    <w:rsid w:val="15051B66"/>
    <w:rsid w:val="151414F9"/>
    <w:rsid w:val="154C7AB0"/>
    <w:rsid w:val="155F4281"/>
    <w:rsid w:val="158035C7"/>
    <w:rsid w:val="15BC540D"/>
    <w:rsid w:val="16210B83"/>
    <w:rsid w:val="16583F2B"/>
    <w:rsid w:val="16912340"/>
    <w:rsid w:val="169D3E09"/>
    <w:rsid w:val="16AB3CAD"/>
    <w:rsid w:val="16B634A6"/>
    <w:rsid w:val="16E341B9"/>
    <w:rsid w:val="16F10A78"/>
    <w:rsid w:val="17226BDD"/>
    <w:rsid w:val="17446813"/>
    <w:rsid w:val="177551EA"/>
    <w:rsid w:val="179B1D36"/>
    <w:rsid w:val="17C079EC"/>
    <w:rsid w:val="17F76BA3"/>
    <w:rsid w:val="182A66F0"/>
    <w:rsid w:val="182F656A"/>
    <w:rsid w:val="186A6524"/>
    <w:rsid w:val="186F767B"/>
    <w:rsid w:val="187F0353"/>
    <w:rsid w:val="188852B3"/>
    <w:rsid w:val="18DD0D85"/>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B327EE5"/>
    <w:rsid w:val="1B462375"/>
    <w:rsid w:val="1B5E3B97"/>
    <w:rsid w:val="1C392A3A"/>
    <w:rsid w:val="1C4C1E84"/>
    <w:rsid w:val="1C880B67"/>
    <w:rsid w:val="1C923014"/>
    <w:rsid w:val="1CB1322F"/>
    <w:rsid w:val="1D4D4A00"/>
    <w:rsid w:val="1DC4038A"/>
    <w:rsid w:val="1DF36090"/>
    <w:rsid w:val="1DFE25B1"/>
    <w:rsid w:val="1E511FFA"/>
    <w:rsid w:val="1E752FA2"/>
    <w:rsid w:val="1EF77273"/>
    <w:rsid w:val="1F1B65D5"/>
    <w:rsid w:val="1F35289F"/>
    <w:rsid w:val="1F4E73A5"/>
    <w:rsid w:val="1F8E0A45"/>
    <w:rsid w:val="1FAB395F"/>
    <w:rsid w:val="1FB451F2"/>
    <w:rsid w:val="1FB8538A"/>
    <w:rsid w:val="1FF16224"/>
    <w:rsid w:val="201572E0"/>
    <w:rsid w:val="20272451"/>
    <w:rsid w:val="203255D2"/>
    <w:rsid w:val="20403C64"/>
    <w:rsid w:val="205905F2"/>
    <w:rsid w:val="205B3801"/>
    <w:rsid w:val="207644C2"/>
    <w:rsid w:val="20A856C1"/>
    <w:rsid w:val="21A07B88"/>
    <w:rsid w:val="21A5651D"/>
    <w:rsid w:val="21D24208"/>
    <w:rsid w:val="22044DFC"/>
    <w:rsid w:val="2241348F"/>
    <w:rsid w:val="226B1105"/>
    <w:rsid w:val="226B2F60"/>
    <w:rsid w:val="22813299"/>
    <w:rsid w:val="23194B67"/>
    <w:rsid w:val="232E1BCD"/>
    <w:rsid w:val="23461CA8"/>
    <w:rsid w:val="238A1BAA"/>
    <w:rsid w:val="23900E62"/>
    <w:rsid w:val="23BF3886"/>
    <w:rsid w:val="241A6B34"/>
    <w:rsid w:val="24285E2F"/>
    <w:rsid w:val="242A7B69"/>
    <w:rsid w:val="247622DE"/>
    <w:rsid w:val="2480482A"/>
    <w:rsid w:val="24A05D8E"/>
    <w:rsid w:val="24FC7C66"/>
    <w:rsid w:val="2519537A"/>
    <w:rsid w:val="258041F6"/>
    <w:rsid w:val="258609CC"/>
    <w:rsid w:val="261B55F8"/>
    <w:rsid w:val="261D5675"/>
    <w:rsid w:val="269C7CAD"/>
    <w:rsid w:val="271B4DE1"/>
    <w:rsid w:val="272228DE"/>
    <w:rsid w:val="27443F4D"/>
    <w:rsid w:val="274B78E8"/>
    <w:rsid w:val="27602485"/>
    <w:rsid w:val="27CF15FE"/>
    <w:rsid w:val="27D42EE9"/>
    <w:rsid w:val="27E10A81"/>
    <w:rsid w:val="27FE6486"/>
    <w:rsid w:val="280B3F2E"/>
    <w:rsid w:val="28247B4B"/>
    <w:rsid w:val="28341F0D"/>
    <w:rsid w:val="28481DD2"/>
    <w:rsid w:val="2892323E"/>
    <w:rsid w:val="289361DE"/>
    <w:rsid w:val="28E623FA"/>
    <w:rsid w:val="291C5E47"/>
    <w:rsid w:val="296D2D47"/>
    <w:rsid w:val="29CB46C2"/>
    <w:rsid w:val="29E253FB"/>
    <w:rsid w:val="29F77BA5"/>
    <w:rsid w:val="2A3A6E77"/>
    <w:rsid w:val="2A85024C"/>
    <w:rsid w:val="2AAB1ACE"/>
    <w:rsid w:val="2B0D2F04"/>
    <w:rsid w:val="2B1D2572"/>
    <w:rsid w:val="2B206A2D"/>
    <w:rsid w:val="2B4C1179"/>
    <w:rsid w:val="2BD60481"/>
    <w:rsid w:val="2BEA3FA7"/>
    <w:rsid w:val="2C0D0D35"/>
    <w:rsid w:val="2C2E44D4"/>
    <w:rsid w:val="2C611677"/>
    <w:rsid w:val="2C6F7203"/>
    <w:rsid w:val="2C7B6C71"/>
    <w:rsid w:val="2D357F0D"/>
    <w:rsid w:val="2D4E604F"/>
    <w:rsid w:val="2D5C2AB0"/>
    <w:rsid w:val="2D7A20E6"/>
    <w:rsid w:val="2DC57805"/>
    <w:rsid w:val="2DDA0493"/>
    <w:rsid w:val="2DDF08DF"/>
    <w:rsid w:val="2DFF79D8"/>
    <w:rsid w:val="2E32284C"/>
    <w:rsid w:val="2E367C56"/>
    <w:rsid w:val="2E440885"/>
    <w:rsid w:val="2EEE512C"/>
    <w:rsid w:val="2F462957"/>
    <w:rsid w:val="2F511B05"/>
    <w:rsid w:val="2F7C571D"/>
    <w:rsid w:val="2FA86B66"/>
    <w:rsid w:val="2FE823A5"/>
    <w:rsid w:val="2FEA1C57"/>
    <w:rsid w:val="300172B8"/>
    <w:rsid w:val="30945277"/>
    <w:rsid w:val="30C71DD4"/>
    <w:rsid w:val="30DC7CB1"/>
    <w:rsid w:val="30ED30CC"/>
    <w:rsid w:val="31064141"/>
    <w:rsid w:val="310D6AA3"/>
    <w:rsid w:val="31482B78"/>
    <w:rsid w:val="31B477DB"/>
    <w:rsid w:val="31B67BE2"/>
    <w:rsid w:val="31CA71DD"/>
    <w:rsid w:val="324E5138"/>
    <w:rsid w:val="331E21CE"/>
    <w:rsid w:val="33562A0D"/>
    <w:rsid w:val="33715F28"/>
    <w:rsid w:val="33F07155"/>
    <w:rsid w:val="340C6245"/>
    <w:rsid w:val="343C4522"/>
    <w:rsid w:val="347A0336"/>
    <w:rsid w:val="34F92D63"/>
    <w:rsid w:val="3513730F"/>
    <w:rsid w:val="35527F1F"/>
    <w:rsid w:val="357914C0"/>
    <w:rsid w:val="35CA668A"/>
    <w:rsid w:val="35D721CD"/>
    <w:rsid w:val="36174333"/>
    <w:rsid w:val="364A3F09"/>
    <w:rsid w:val="364C3817"/>
    <w:rsid w:val="367A501B"/>
    <w:rsid w:val="368249AA"/>
    <w:rsid w:val="36EA501F"/>
    <w:rsid w:val="372D3763"/>
    <w:rsid w:val="37A3423F"/>
    <w:rsid w:val="37A66325"/>
    <w:rsid w:val="37AF435B"/>
    <w:rsid w:val="37B82B0E"/>
    <w:rsid w:val="37D8509F"/>
    <w:rsid w:val="380178E9"/>
    <w:rsid w:val="38363F4B"/>
    <w:rsid w:val="385F5D57"/>
    <w:rsid w:val="386866FF"/>
    <w:rsid w:val="38803663"/>
    <w:rsid w:val="389A539F"/>
    <w:rsid w:val="38B37216"/>
    <w:rsid w:val="38BD5C7F"/>
    <w:rsid w:val="38C5580C"/>
    <w:rsid w:val="38EC325F"/>
    <w:rsid w:val="39090322"/>
    <w:rsid w:val="39286E54"/>
    <w:rsid w:val="39445E95"/>
    <w:rsid w:val="399117DD"/>
    <w:rsid w:val="39972637"/>
    <w:rsid w:val="39D7104B"/>
    <w:rsid w:val="3A3E0D9F"/>
    <w:rsid w:val="3A5573DE"/>
    <w:rsid w:val="3AAB1306"/>
    <w:rsid w:val="3ABD0173"/>
    <w:rsid w:val="3ACE23E2"/>
    <w:rsid w:val="3B227AA7"/>
    <w:rsid w:val="3B4241C0"/>
    <w:rsid w:val="3B5F0280"/>
    <w:rsid w:val="3B8C1823"/>
    <w:rsid w:val="3BCD5A20"/>
    <w:rsid w:val="3BEE1D6F"/>
    <w:rsid w:val="3BF1473C"/>
    <w:rsid w:val="3CA475E5"/>
    <w:rsid w:val="3CA717F2"/>
    <w:rsid w:val="3CC56579"/>
    <w:rsid w:val="3CEB2CC9"/>
    <w:rsid w:val="3D053E44"/>
    <w:rsid w:val="3D721433"/>
    <w:rsid w:val="3DA34201"/>
    <w:rsid w:val="3DAB460B"/>
    <w:rsid w:val="3DDA7DB2"/>
    <w:rsid w:val="3DF92E01"/>
    <w:rsid w:val="3E130DD4"/>
    <w:rsid w:val="3E342793"/>
    <w:rsid w:val="3E3C5235"/>
    <w:rsid w:val="3EA34B57"/>
    <w:rsid w:val="3ED604A2"/>
    <w:rsid w:val="3EEF1E6E"/>
    <w:rsid w:val="3F654598"/>
    <w:rsid w:val="3FEB6494"/>
    <w:rsid w:val="40571F31"/>
    <w:rsid w:val="40760623"/>
    <w:rsid w:val="408B7234"/>
    <w:rsid w:val="40E27AF7"/>
    <w:rsid w:val="40F80D82"/>
    <w:rsid w:val="41342A6B"/>
    <w:rsid w:val="414C7183"/>
    <w:rsid w:val="418D501C"/>
    <w:rsid w:val="41BB58E6"/>
    <w:rsid w:val="41C832C7"/>
    <w:rsid w:val="41E9167B"/>
    <w:rsid w:val="42416B50"/>
    <w:rsid w:val="4262379E"/>
    <w:rsid w:val="427A1188"/>
    <w:rsid w:val="4289200B"/>
    <w:rsid w:val="429B6650"/>
    <w:rsid w:val="42C77562"/>
    <w:rsid w:val="432A5E11"/>
    <w:rsid w:val="433B1167"/>
    <w:rsid w:val="433E2DC7"/>
    <w:rsid w:val="435F500F"/>
    <w:rsid w:val="43C730CD"/>
    <w:rsid w:val="441D0975"/>
    <w:rsid w:val="44A567F5"/>
    <w:rsid w:val="453B1EBC"/>
    <w:rsid w:val="45635AEC"/>
    <w:rsid w:val="45BA54FA"/>
    <w:rsid w:val="45EC74A5"/>
    <w:rsid w:val="45FA6B69"/>
    <w:rsid w:val="460414DD"/>
    <w:rsid w:val="46332B60"/>
    <w:rsid w:val="4654705C"/>
    <w:rsid w:val="468C6A25"/>
    <w:rsid w:val="468D2C1F"/>
    <w:rsid w:val="468D3CA5"/>
    <w:rsid w:val="4694248B"/>
    <w:rsid w:val="46A32063"/>
    <w:rsid w:val="46EA7997"/>
    <w:rsid w:val="470243E7"/>
    <w:rsid w:val="471F1498"/>
    <w:rsid w:val="47271944"/>
    <w:rsid w:val="475C4BFE"/>
    <w:rsid w:val="47BB044C"/>
    <w:rsid w:val="47F95078"/>
    <w:rsid w:val="48262DE5"/>
    <w:rsid w:val="489C0A39"/>
    <w:rsid w:val="490747F7"/>
    <w:rsid w:val="49105C6D"/>
    <w:rsid w:val="496D185A"/>
    <w:rsid w:val="49C0281D"/>
    <w:rsid w:val="49E449BF"/>
    <w:rsid w:val="49EC77B8"/>
    <w:rsid w:val="49ED5B1C"/>
    <w:rsid w:val="4AD45EF1"/>
    <w:rsid w:val="4AE04A18"/>
    <w:rsid w:val="4B12455E"/>
    <w:rsid w:val="4B337454"/>
    <w:rsid w:val="4B407CC6"/>
    <w:rsid w:val="4B42232B"/>
    <w:rsid w:val="4B825A76"/>
    <w:rsid w:val="4B8B3702"/>
    <w:rsid w:val="4B9B0D7E"/>
    <w:rsid w:val="4B9C6F9C"/>
    <w:rsid w:val="4BC83B65"/>
    <w:rsid w:val="4BC87AB0"/>
    <w:rsid w:val="4C1454A4"/>
    <w:rsid w:val="4CA74E41"/>
    <w:rsid w:val="4CA91B51"/>
    <w:rsid w:val="4CB62537"/>
    <w:rsid w:val="4CD2365B"/>
    <w:rsid w:val="4CF05F90"/>
    <w:rsid w:val="4CFB4E3C"/>
    <w:rsid w:val="4D352804"/>
    <w:rsid w:val="4D791805"/>
    <w:rsid w:val="4D8F2F88"/>
    <w:rsid w:val="4DB86BCB"/>
    <w:rsid w:val="4DD85058"/>
    <w:rsid w:val="4E0166A9"/>
    <w:rsid w:val="4E1551DB"/>
    <w:rsid w:val="4E7774D0"/>
    <w:rsid w:val="4F594843"/>
    <w:rsid w:val="4F92095C"/>
    <w:rsid w:val="4FAF3052"/>
    <w:rsid w:val="4FD023AB"/>
    <w:rsid w:val="503C3BCC"/>
    <w:rsid w:val="505C4971"/>
    <w:rsid w:val="50C41CF1"/>
    <w:rsid w:val="51217DA6"/>
    <w:rsid w:val="51294703"/>
    <w:rsid w:val="51425A27"/>
    <w:rsid w:val="5158757E"/>
    <w:rsid w:val="521A5D1E"/>
    <w:rsid w:val="523624DE"/>
    <w:rsid w:val="52A23F56"/>
    <w:rsid w:val="52BA5471"/>
    <w:rsid w:val="52D871F4"/>
    <w:rsid w:val="52F263D6"/>
    <w:rsid w:val="52F737EA"/>
    <w:rsid w:val="53024EB7"/>
    <w:rsid w:val="53261795"/>
    <w:rsid w:val="5373268D"/>
    <w:rsid w:val="53953BE7"/>
    <w:rsid w:val="53F51637"/>
    <w:rsid w:val="54124FEF"/>
    <w:rsid w:val="541C4B67"/>
    <w:rsid w:val="552A2893"/>
    <w:rsid w:val="555A4FF2"/>
    <w:rsid w:val="556B045B"/>
    <w:rsid w:val="557D4E77"/>
    <w:rsid w:val="55C375DD"/>
    <w:rsid w:val="56156439"/>
    <w:rsid w:val="5656544C"/>
    <w:rsid w:val="56643532"/>
    <w:rsid w:val="568B5A7B"/>
    <w:rsid w:val="56EF2BB9"/>
    <w:rsid w:val="570A6E63"/>
    <w:rsid w:val="573B0118"/>
    <w:rsid w:val="573D2268"/>
    <w:rsid w:val="57411925"/>
    <w:rsid w:val="57441E32"/>
    <w:rsid w:val="57535542"/>
    <w:rsid w:val="575B3098"/>
    <w:rsid w:val="577F7188"/>
    <w:rsid w:val="57F55B90"/>
    <w:rsid w:val="580F191D"/>
    <w:rsid w:val="58276F84"/>
    <w:rsid w:val="58584813"/>
    <w:rsid w:val="58B728A2"/>
    <w:rsid w:val="58B868EB"/>
    <w:rsid w:val="590D059A"/>
    <w:rsid w:val="592802C2"/>
    <w:rsid w:val="5939327C"/>
    <w:rsid w:val="5978735A"/>
    <w:rsid w:val="59AF126F"/>
    <w:rsid w:val="59E42114"/>
    <w:rsid w:val="59E710C8"/>
    <w:rsid w:val="59FD0626"/>
    <w:rsid w:val="5A0B0AB5"/>
    <w:rsid w:val="5A1C59A1"/>
    <w:rsid w:val="5A407674"/>
    <w:rsid w:val="5A432974"/>
    <w:rsid w:val="5A6A20C5"/>
    <w:rsid w:val="5AD64AF2"/>
    <w:rsid w:val="5AEE39DB"/>
    <w:rsid w:val="5B046AEC"/>
    <w:rsid w:val="5B544EB3"/>
    <w:rsid w:val="5B6A33DD"/>
    <w:rsid w:val="5BD1484D"/>
    <w:rsid w:val="5BF04FFA"/>
    <w:rsid w:val="5C4D2649"/>
    <w:rsid w:val="5C8D6CFF"/>
    <w:rsid w:val="5C966EB6"/>
    <w:rsid w:val="5C9E007C"/>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EF56050"/>
    <w:rsid w:val="5F02275D"/>
    <w:rsid w:val="5F14059B"/>
    <w:rsid w:val="5F291E1B"/>
    <w:rsid w:val="5F551AC0"/>
    <w:rsid w:val="5F616E2A"/>
    <w:rsid w:val="5FE015B4"/>
    <w:rsid w:val="6018182B"/>
    <w:rsid w:val="601E0F43"/>
    <w:rsid w:val="60596F8D"/>
    <w:rsid w:val="608075E1"/>
    <w:rsid w:val="61326FB1"/>
    <w:rsid w:val="61384C31"/>
    <w:rsid w:val="61E77A7E"/>
    <w:rsid w:val="622A4138"/>
    <w:rsid w:val="62385483"/>
    <w:rsid w:val="62385A6C"/>
    <w:rsid w:val="62876D77"/>
    <w:rsid w:val="628F4421"/>
    <w:rsid w:val="62CA4AF4"/>
    <w:rsid w:val="62E4371E"/>
    <w:rsid w:val="632045D1"/>
    <w:rsid w:val="6342544F"/>
    <w:rsid w:val="63720424"/>
    <w:rsid w:val="63A31ABC"/>
    <w:rsid w:val="63C65078"/>
    <w:rsid w:val="63EA156F"/>
    <w:rsid w:val="63EA6D88"/>
    <w:rsid w:val="64621F9C"/>
    <w:rsid w:val="64A537DD"/>
    <w:rsid w:val="64B96E85"/>
    <w:rsid w:val="64BB6795"/>
    <w:rsid w:val="64D069A0"/>
    <w:rsid w:val="64F27E75"/>
    <w:rsid w:val="65067C78"/>
    <w:rsid w:val="65662197"/>
    <w:rsid w:val="658C79F9"/>
    <w:rsid w:val="65A14359"/>
    <w:rsid w:val="65A33DF6"/>
    <w:rsid w:val="65BE04E1"/>
    <w:rsid w:val="65F429F0"/>
    <w:rsid w:val="665A6FDB"/>
    <w:rsid w:val="66B368AE"/>
    <w:rsid w:val="66B532F3"/>
    <w:rsid w:val="66C2760F"/>
    <w:rsid w:val="675A3B6C"/>
    <w:rsid w:val="677C2796"/>
    <w:rsid w:val="67AF7DB6"/>
    <w:rsid w:val="680564C6"/>
    <w:rsid w:val="681B3F7A"/>
    <w:rsid w:val="68233428"/>
    <w:rsid w:val="68575061"/>
    <w:rsid w:val="68B54AF7"/>
    <w:rsid w:val="68CA009F"/>
    <w:rsid w:val="695B5920"/>
    <w:rsid w:val="69B35A0D"/>
    <w:rsid w:val="69CC607C"/>
    <w:rsid w:val="69EA1163"/>
    <w:rsid w:val="69F96768"/>
    <w:rsid w:val="6A287F98"/>
    <w:rsid w:val="6AB40496"/>
    <w:rsid w:val="6ABD1D5E"/>
    <w:rsid w:val="6AE81CC5"/>
    <w:rsid w:val="6AF33939"/>
    <w:rsid w:val="6B795D62"/>
    <w:rsid w:val="6BC747F5"/>
    <w:rsid w:val="6BD238E6"/>
    <w:rsid w:val="6BD35CE4"/>
    <w:rsid w:val="6C3014BE"/>
    <w:rsid w:val="6C5D414F"/>
    <w:rsid w:val="6C635932"/>
    <w:rsid w:val="6CA324B4"/>
    <w:rsid w:val="6CC44B47"/>
    <w:rsid w:val="6CDE17FD"/>
    <w:rsid w:val="6D1D2C91"/>
    <w:rsid w:val="6D232D3C"/>
    <w:rsid w:val="6D2F5D1E"/>
    <w:rsid w:val="6D792112"/>
    <w:rsid w:val="6E641038"/>
    <w:rsid w:val="6EBD0EA6"/>
    <w:rsid w:val="6F2F5C01"/>
    <w:rsid w:val="6F435405"/>
    <w:rsid w:val="6F4810D8"/>
    <w:rsid w:val="6F6D2BAA"/>
    <w:rsid w:val="6F9119BB"/>
    <w:rsid w:val="6F9A4A47"/>
    <w:rsid w:val="701710D0"/>
    <w:rsid w:val="70795456"/>
    <w:rsid w:val="709946EC"/>
    <w:rsid w:val="70B256FB"/>
    <w:rsid w:val="72226A31"/>
    <w:rsid w:val="72702455"/>
    <w:rsid w:val="728F2E47"/>
    <w:rsid w:val="72973011"/>
    <w:rsid w:val="72E42D1B"/>
    <w:rsid w:val="734D6FFD"/>
    <w:rsid w:val="734F0911"/>
    <w:rsid w:val="736054C4"/>
    <w:rsid w:val="736C572D"/>
    <w:rsid w:val="73A422EB"/>
    <w:rsid w:val="74103E55"/>
    <w:rsid w:val="745B622A"/>
    <w:rsid w:val="753E2D2E"/>
    <w:rsid w:val="75B91B9C"/>
    <w:rsid w:val="75DB13A5"/>
    <w:rsid w:val="75E00376"/>
    <w:rsid w:val="75E552E3"/>
    <w:rsid w:val="762E2DED"/>
    <w:rsid w:val="7648538B"/>
    <w:rsid w:val="76577132"/>
    <w:rsid w:val="76BD747C"/>
    <w:rsid w:val="76CD52EB"/>
    <w:rsid w:val="76FE004A"/>
    <w:rsid w:val="771B17CC"/>
    <w:rsid w:val="77462C4C"/>
    <w:rsid w:val="77A268F6"/>
    <w:rsid w:val="77CC3658"/>
    <w:rsid w:val="77FF7039"/>
    <w:rsid w:val="780F54C3"/>
    <w:rsid w:val="782C6CF7"/>
    <w:rsid w:val="78680ECD"/>
    <w:rsid w:val="7880670B"/>
    <w:rsid w:val="78A25951"/>
    <w:rsid w:val="78A35FE5"/>
    <w:rsid w:val="78C4002B"/>
    <w:rsid w:val="78C507F8"/>
    <w:rsid w:val="78EE7F5B"/>
    <w:rsid w:val="78F11CE1"/>
    <w:rsid w:val="78F66955"/>
    <w:rsid w:val="78F8423B"/>
    <w:rsid w:val="79053EDA"/>
    <w:rsid w:val="79097264"/>
    <w:rsid w:val="791D3993"/>
    <w:rsid w:val="79202162"/>
    <w:rsid w:val="7924138B"/>
    <w:rsid w:val="79826449"/>
    <w:rsid w:val="79D339B9"/>
    <w:rsid w:val="7A200C95"/>
    <w:rsid w:val="7A594332"/>
    <w:rsid w:val="7A8564DB"/>
    <w:rsid w:val="7AC22B97"/>
    <w:rsid w:val="7B190280"/>
    <w:rsid w:val="7B1F77A4"/>
    <w:rsid w:val="7B292799"/>
    <w:rsid w:val="7BC34524"/>
    <w:rsid w:val="7C090682"/>
    <w:rsid w:val="7C183634"/>
    <w:rsid w:val="7C193021"/>
    <w:rsid w:val="7C351D89"/>
    <w:rsid w:val="7C6A6CA8"/>
    <w:rsid w:val="7C9307A3"/>
    <w:rsid w:val="7CE81F24"/>
    <w:rsid w:val="7CF04E00"/>
    <w:rsid w:val="7D41026F"/>
    <w:rsid w:val="7D59343F"/>
    <w:rsid w:val="7E0A78B3"/>
    <w:rsid w:val="7E2912F3"/>
    <w:rsid w:val="7F850D3B"/>
    <w:rsid w:val="7F9026D0"/>
    <w:rsid w:val="7F984417"/>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link w:val="15"/>
    <w:qFormat/>
    <w:uiPriority w:val="0"/>
    <w:rPr>
      <w:rFonts w:ascii="宋体" w:hAnsi="Courier New"/>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纯文本 Char"/>
    <w:link w:val="3"/>
    <w:qFormat/>
    <w:uiPriority w:val="0"/>
    <w:rPr>
      <w:rFonts w:ascii="宋体" w:hAnsi="Courier New"/>
      <w:kern w:val="2"/>
      <w:sz w:val="21"/>
    </w:rPr>
  </w:style>
  <w:style w:type="character" w:customStyle="1" w:styleId="15">
    <w:name w:val="纯文本 Char1"/>
    <w:basedOn w:val="9"/>
    <w:link w:val="3"/>
    <w:semiHidden/>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1163</Words>
  <Characters>6631</Characters>
  <Lines>55</Lines>
  <Paragraphs>15</Paragraphs>
  <TotalTime>10</TotalTime>
  <ScaleCrop>false</ScaleCrop>
  <LinksUpToDate>false</LinksUpToDate>
  <CharactersWithSpaces>7779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张磊</cp:lastModifiedBy>
  <dcterms:modified xsi:type="dcterms:W3CDTF">2020-06-18T08:22:23Z</dcterms:modified>
  <cp:revision>609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