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祝涛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cs="Arial"/>
                <w:bCs/>
                <w:sz w:val="21"/>
                <w:szCs w:val="21"/>
              </w:rPr>
              <w:t>6.1.2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6.2/7.2/7.4/7.5/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8.1.2/8.1.3/8.2/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现场电线老化、破损等导致发生触电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现场电线老化等导致发生火情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噪声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设备运行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粉尘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生产过程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疫情传染病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未佩戴口罩，与人亲密接触被人传染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行政部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color w:val="auto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火灾事故为0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学历：专科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专科/中药学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环安科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郭海燕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安全技术管理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专科/机电维护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质量部长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cyan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王凯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中药学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本科/中药学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工艺员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朱攀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电器自动化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科/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电器自动化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FF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唐秀亮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初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化学品生产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0 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环境、职业健康安全法律法规讲解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2019年10月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王凯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ZY00448883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执业药师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1510484840201556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电梯工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 2" w:char="00A3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行车工</w:t>
                  </w:r>
                </w:p>
              </w:tc>
              <w:tc>
                <w:tcPr>
                  <w:tcW w:w="12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二级锅炉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</w:tc>
              <w:tc>
                <w:tcPr>
                  <w:tcW w:w="121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郭海燕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highlight w:val="none"/>
                      <w:lang w:val="en-US" w:eastAsia="zh-CN"/>
                    </w:rPr>
                    <w:t>342126196211028975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FF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szCs w:val="22"/>
                      <w:lang w:val="en-US" w:eastAsia="zh-CN"/>
                    </w:rPr>
                    <w:t>2021-9月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陶磊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141815-090423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--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宋学才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BWYQAP201906027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郭海燕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安全员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祝涛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BWYQAP201906026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过期</w:t>
                  </w:r>
                </w:p>
              </w:tc>
            </w:tr>
          </w:tbl>
          <w:p>
            <w:pPr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</w:t>
            </w:r>
          </w:p>
          <w:tbl>
            <w:tblPr>
              <w:tblStyle w:val="7"/>
              <w:tblW w:w="69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王凯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2019.09.10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李慧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2019.09.10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老员工调岗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原岗位             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新岗位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抽查《直接接触药品人员健康检查表》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9"/>
              <w:gridCol w:w="1905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体检日期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体检单位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蒋坤</w:t>
                  </w: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2020年6月3号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2020100798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吴青泉</w:t>
                  </w:r>
                </w:p>
              </w:tc>
              <w:tc>
                <w:tcPr>
                  <w:tcW w:w="190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2020年6月3号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2020100797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李慧</w:t>
                  </w:r>
                </w:p>
              </w:tc>
              <w:tc>
                <w:tcPr>
                  <w:tcW w:w="1905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2020年6月5号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双沟镇中心卫生院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2020100851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47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2020-5-25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环保设施运行情况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亳州市环保局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2020-5-29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安全生产教育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亳芜园区安监局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left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jc w:val="left"/>
                    <w:rPr>
                      <w:rFonts w:hint="default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2020-3-31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职业健康检查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亳州市中医药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体检合格</w:t>
                  </w:r>
                </w:p>
              </w:tc>
            </w:tr>
          </w:tbl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2020-04-20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2020-05-16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现场巡检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-1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-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09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4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3" w:hRule="atLeast"/>
              </w:trPr>
              <w:tc>
                <w:tcPr>
                  <w:tcW w:w="164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安徽省安全生产条例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41" w:type="dxa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劳动保障监察条例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突发事件应急预案管理办法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吴哲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7"/>
              <w:tblW w:w="80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供应商基本情况调查表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文件发放记录表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培训记录表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焚烧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职业健康安全绩效测量和监视控制程序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编制XXX安全操作规程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与产品运输签订安全管理协议书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生产现场未张贴防火，防滑，防烫标识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如：手册第8.1条款、《运行控制程序》、《食堂管理制度》、《设备操作规程》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食堂环境管理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食堂使用原料 ：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用电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天然气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液化石油气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柴油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可燃气体泄漏报警器配备情况：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使用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未使用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液化石油气与作业区隔离   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查看吸排油烟机运转情况：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完好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不完好 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地沟油定期清掏，油烟机由春瑞环保科技有限公司定期清洁，暂未保留清洁记录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厨余垃圾处理方名称：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亳州市万家乐园林绿化工程有限公司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口头协议每天过来处理    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厨房员工健康证：因疫情原因，健康证未能及时取得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1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  <w:p>
                  <w:pPr>
                    <w:pStyle w:val="19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《环境和职业健康安全监视和测量控制程序》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公司消防设施配置及安全巡查记录表 》，每月安全部查核4次《生产仓库环境安全检查表》，每周车间负责人查核，每日每班班组自检，均有记录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职业病危害因素定期检测报告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19JC913416006820856612027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2019.8.7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亳州市节能监测和技术服务有限公司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体检报告：</w:t>
            </w: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在职员工（定期）：宋学敏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职业健康体检表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2020年6月1日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亳州市中医药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default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在职员工（定期）：贾秀菊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职业健康检查表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2020年6月1日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亳州市中医院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共17人 ，无职业危害禁忌证或职业病                 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危险化学品安全管理条例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安徽省消防条例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20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生产安全事故应急演练指南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生产安全事故应急预案管理办法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2020-4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15-16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管理层、销售部、生产部、质量部、行政部....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8.3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GB/T24001-2016第7.5.3、GB/T9001-2016及ISO45001-2018第7.5.3未标注质量记录的保存期限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内审不合格项报告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2019.12.16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未标注记录的保存期限。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 xml:space="preserve">内审不合格项报告 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教育培训 有效</w:t>
                  </w: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3D350C"/>
    <w:rsid w:val="24553A74"/>
    <w:rsid w:val="246A25EE"/>
    <w:rsid w:val="247622DE"/>
    <w:rsid w:val="2480482A"/>
    <w:rsid w:val="2483299C"/>
    <w:rsid w:val="24950DD7"/>
    <w:rsid w:val="24A05D8E"/>
    <w:rsid w:val="24B77A5F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55C0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157A9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B768BD"/>
    <w:rsid w:val="3CC445CD"/>
    <w:rsid w:val="3CC56579"/>
    <w:rsid w:val="3CED4B6C"/>
    <w:rsid w:val="3D073283"/>
    <w:rsid w:val="3D24558C"/>
    <w:rsid w:val="3D947E5D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911E65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484A4A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CB3839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三级条标题"/>
    <w:basedOn w:val="17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2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2020-07-09T07:55:20Z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