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员工代表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吴哲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2020-06-11（现场）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5.4  8.2  10.2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Arial" w:hAnsi="Arial"/>
              </w:rPr>
              <w:t>工作人员的协商和参与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管理手册第</w:t>
            </w:r>
            <w:r>
              <w:rPr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  <w:lang w:eastAsia="zh-CN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lang w:val="en-US" w:eastAsia="zh-CN"/>
              </w:rPr>
              <w:t>章、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</w:rPr>
              <w:t>信息沟通控制程序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cya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员工代表：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b/>
                <w:color w:val="000000" w:themeColor="text1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张广标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共</w:t>
            </w:r>
            <w:r>
              <w:rPr>
                <w:rFonts w:hint="eastAsia"/>
                <w:u w:val="single"/>
                <w:lang w:val="en-US" w:eastAsia="zh-CN"/>
              </w:rPr>
              <w:t xml:space="preserve">  1</w:t>
            </w:r>
            <w:r>
              <w:rPr>
                <w:rFonts w:hint="eastAsia"/>
                <w:lang w:val="en-US" w:eastAsia="zh-CN"/>
              </w:rPr>
              <w:t>名</w:t>
            </w:r>
          </w:p>
          <w:tbl>
            <w:tblPr>
              <w:tblStyle w:val="7"/>
              <w:tblW w:w="180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24"/>
              <w:gridCol w:w="1203"/>
              <w:gridCol w:w="1567"/>
              <w:gridCol w:w="1299"/>
              <w:gridCol w:w="1379"/>
              <w:gridCol w:w="1571"/>
              <w:gridCol w:w="2024"/>
              <w:gridCol w:w="1756"/>
              <w:gridCol w:w="1014"/>
              <w:gridCol w:w="1299"/>
              <w:gridCol w:w="1379"/>
              <w:gridCol w:w="15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协商参与机制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回应方式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协商机制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回应方式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选举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工作人员代表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提供资金、场所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面谈、微信、电话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选举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工作人员代表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工伤调查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合理化建议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随时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意见箱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重大变化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发生前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工伤事件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调查时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ind w:firstLine="420"/>
              <w:rPr>
                <w:rFonts w:hint="eastAsia"/>
                <w:highlight w:val="cyan"/>
              </w:rPr>
            </w:pPr>
          </w:p>
          <w:tbl>
            <w:tblPr>
              <w:tblStyle w:val="7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协商的内容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协商的时机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确定相关方的需求和期望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建立职业健康安全方针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分配组织的角色、职责和权限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确定如何满足法律法规要求和其他要求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制定职业健康安全目标并为其实现进行策划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确定对外包、采购和承包方的适用控制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确定所需监视、测量和评价的内容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策划、建立、实施和保持审核方案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确保持续改进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与非管理类工作人员在如下方面的协商：</w:t>
            </w:r>
          </w:p>
          <w:tbl>
            <w:tblPr>
              <w:tblStyle w:val="7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参与的内容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参与的时机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确定其协商和参与的机制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辨识危险源并评价风险和机遇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确定消除危险源和降低职业健康安全风险的措施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确定能力要求、培训需求、培训和培训效果评价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确定沟通的内容和方式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确定控制措施及其有效的实施和应用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调查事件和不符合并确定纠正措施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近一年组织员工的内部满意度调查，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未实施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已实施，说明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满意度符合要求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 w:ascii="Arial" w:hAnsi="Arial"/>
              </w:rPr>
            </w:pPr>
            <w:bookmarkStart w:id="0" w:name="_GoBack" w:colFirst="3" w:colLast="3"/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机械伤害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触电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机械伤害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备案编号：3416012018-007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 w:ascii="Arial" w:hAnsi="Arial"/>
              </w:rPr>
              <w:t>事件、</w:t>
            </w:r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</w:rPr>
              <w:t>不合格品和潜在不安全品控制程序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事件、不符合的来源：未发生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</w:t>
            </w: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职业病检测结果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工作运行中发现的问题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其他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                    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事件日期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发生过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调查</w:t>
                  </w:r>
                  <w:r>
                    <w:rPr>
                      <w:rFonts w:hint="eastAsia"/>
                      <w:highlight w:val="none"/>
                    </w:rPr>
                    <w:t>事件和评审不符合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确定并实施纠正措施按照控制层级和变更管理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在采取措施前，评价与新的或变化的危险源相关的职业健康安全风险；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评审任何所采取措施的有效性，包括纠正措施；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在必要时，变更职业健康安全管理体系。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2A16F55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792B37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3B4D9A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62091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9345C9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6528D7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8F5A33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E248D6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2020-07-09T07:57:14Z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