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1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祝涛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郝本东，李青（仅远程），胡益民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279" w:type="dxa"/>
            <w:vMerge w:val="continue"/>
          </w:tcPr>
          <w:p/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pStyle w:val="15"/>
              <w:spacing w:after="0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6.1.2/6.1.3/6.1.4/6.2/7.2/7.4/7.5/8.1/8.2/9.1.1/9.1.2/9.2 /10.2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固体废物分类收集处置率100%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kern w:val="2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每季度检查两次分类处理情况/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次分类处理情况×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火灾事故为0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统计火灾事故次数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未发生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6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环境因素识别与评价控制程序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组织在识别环境因素和相关的环境影响时，需考虑非正常情况、潜在的紧急情况和全生命周期。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环境因素识别考虑了下列过程：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产品使用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最终处置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组织的环境因素包括：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能源资源消耗：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蒸汽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引起的环境影响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泄露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燃烧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爆炸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评价重要环境因素的准则：《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  <w:u w:val="none"/>
                <w:lang w:val="en-US" w:eastAsia="zh-CN"/>
              </w:rPr>
              <w:t>环境因素识别与评价控制程序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重要环境因素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58"/>
              <w:gridCol w:w="3760"/>
              <w:gridCol w:w="11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76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固体废弃物的处置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制定并执行方案；           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制定并执行《固体废弃物管理规程》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火灾的发生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方案和应急救援预案；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定期演练预案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日常进行消防检查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粉尘的排放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目标指标控制方案；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运行控制程序。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7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目标指标控制方案；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运行控制程序。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FF000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lang w:val="en-US" w:eastAsia="zh-CN"/>
                    </w:rPr>
                    <w:t>生产部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手册第6.1.3条款、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法律法规和其他要求控制程序</w:t>
            </w:r>
            <w:r>
              <w:rPr>
                <w:rFonts w:hint="eastAsia"/>
                <w:lang w:val="en-US" w:eastAsia="zh-CN"/>
              </w:rPr>
              <w:t>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《法律法规其他要求清单》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</w:t>
            </w:r>
            <w:r>
              <w:rPr>
                <w:rFonts w:hint="eastAsia"/>
                <w:vertAlign w:val="baseline"/>
                <w:lang w:val="en-US" w:eastAsia="zh-CN"/>
              </w:rPr>
              <w:t>收集法律法规和其他要求的渠道：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专业网站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主管机构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专业书店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列举主要的相关法律法规</w:t>
            </w:r>
            <w:r>
              <w:rPr>
                <w:rFonts w:hint="eastAsia"/>
                <w:vertAlign w:val="baseline"/>
                <w:lang w:eastAsia="zh-CN"/>
              </w:rPr>
              <w:t>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安徽省节约能源条例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危化品管理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国家危险废物名录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危险废弃物管理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污水综合排放标准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GB8978-1996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三类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污水处理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大气污染物综合排放标准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GB16297-1996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2级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废气处理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工业企业厂界环境噪声排放标准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GB12348-2008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三类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设备管理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 xml:space="preserve"> 正在申报中  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 w:themeColor="text1"/>
                <w:szCs w:val="18"/>
              </w:rPr>
              <w:t>环评验收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报告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编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亳环表[2017]11号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2017 年 5 月 9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年产5</w:t>
            </w: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000吨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无硫中药材标准化生产加工</w:t>
            </w: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项目环评批复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亳环表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[2016]50号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2016 年 5 月 20日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/>
                <w:color w:val="000000" w:themeColor="text1"/>
                <w:szCs w:val="18"/>
                <w:u w:val="none"/>
                <w:lang w:val="en-US" w:eastAsia="zh-CN"/>
              </w:rPr>
              <w:t>000吨</w:t>
            </w:r>
            <w:r>
              <w:rPr>
                <w:rFonts w:hint="eastAsia"/>
                <w:color w:val="000000" w:themeColor="text1"/>
                <w:szCs w:val="18"/>
                <w:u w:val="none"/>
                <w:lang w:val="en-US" w:eastAsia="zh-CN"/>
              </w:rPr>
              <w:t>无硫中药材标准化生产加工</w:t>
            </w:r>
            <w:r>
              <w:rPr>
                <w:rFonts w:hint="default"/>
                <w:color w:val="000000" w:themeColor="text1"/>
                <w:szCs w:val="18"/>
                <w:u w:val="none"/>
                <w:lang w:val="en-US" w:eastAsia="zh-CN"/>
              </w:rPr>
              <w:t>项目</w:t>
            </w:r>
            <w:r>
              <w:rPr>
                <w:rFonts w:hint="eastAsia"/>
                <w:color w:val="000000" w:themeColor="text1"/>
                <w:szCs w:val="18"/>
                <w:u w:val="none"/>
                <w:lang w:val="en-US" w:eastAsia="zh-CN"/>
              </w:rPr>
              <w:t>验收</w:t>
            </w:r>
            <w:r>
              <w:rPr>
                <w:rFonts w:hint="default"/>
                <w:color w:val="000000" w:themeColor="text1"/>
                <w:szCs w:val="18"/>
                <w:u w:val="none"/>
                <w:lang w:val="en-US" w:eastAsia="zh-CN"/>
              </w:rPr>
              <w:t>批复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毫环验[2017]11号</w:t>
            </w:r>
          </w:p>
          <w:p>
            <w:pP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颁布日期：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2017年5月9号</w:t>
            </w:r>
          </w:p>
          <w:p>
            <w:pPr>
              <w:rPr>
                <w:rFonts w:hint="eastAsia"/>
                <w:color w:val="FF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现有产量与环评的产能的对比</w:t>
            </w:r>
          </w:p>
          <w:p>
            <w:pPr>
              <w:rPr>
                <w:rFonts w:hint="eastAsia"/>
                <w:color w:val="000000" w:themeColor="text1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single"/>
                <w:lang w:val="en-US" w:eastAsia="zh-CN"/>
              </w:rPr>
              <w:t xml:space="preserve"> 3000吨</w:t>
            </w:r>
            <w:r>
              <w:rPr>
                <w:rFonts w:hint="eastAsia"/>
                <w:color w:val="000000" w:themeColor="text1"/>
                <w:szCs w:val="18"/>
                <w:u w:val="none"/>
                <w:lang w:val="en-US" w:eastAsia="zh-CN"/>
              </w:rPr>
              <w:t>无硫中药材标准化生产加工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single"/>
                <w:lang w:val="en-US" w:eastAsia="zh-CN"/>
              </w:rPr>
              <w:t xml:space="preserve">  ；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single"/>
                <w:lang w:val="en-US" w:eastAsia="zh-CN"/>
              </w:rPr>
              <w:t xml:space="preserve"> 5000吨</w:t>
            </w:r>
            <w:r>
              <w:rPr>
                <w:rFonts w:hint="eastAsia"/>
                <w:color w:val="000000" w:themeColor="text1"/>
                <w:szCs w:val="18"/>
                <w:u w:val="none"/>
                <w:lang w:val="en-US" w:eastAsia="zh-CN"/>
              </w:rPr>
              <w:t>无硫中药材标准化生产加工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default"/>
                <w:color w:val="000000" w:themeColor="text1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</w:t>
            </w:r>
            <w:r>
              <w:rPr>
                <w:rFonts w:hint="default"/>
                <w:color w:val="000000" w:themeColor="text1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 w:themeColor="text1"/>
                <w:lang w:val="en-US" w:eastAsia="zh-CN"/>
              </w:rPr>
              <w:t>，说明：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手册第6.1.4条款、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组织针对</w:t>
            </w:r>
            <w:r>
              <w:rPr>
                <w:rFonts w:hint="eastAsia"/>
                <w:lang w:val="en-US" w:eastAsia="zh-CN"/>
              </w:rPr>
              <w:t>重要环境因素、合规义务、风险和机遇制订了控制措施（管理方案）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固体废弃物的处置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《废弃物控制程序》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火灾的发生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《消防安全管理》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000000" w:themeColor="text1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废水的排放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《废水管理》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废气的排放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《废气、粉尘</w:t>
                  </w:r>
                  <w:bookmarkStart w:id="0" w:name="_Hlt41140122"/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、</w:t>
                  </w:r>
                  <w:bookmarkEnd w:id="0"/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噪声控制程序》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FF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 w:ascii="Calibri" w:hAnsi="Calibri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 w:ascii="Calibri" w:hAnsi="Calibri"/>
                <w:lang w:val="en-US" w:eastAsia="zh-CN"/>
              </w:rPr>
              <w:t>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 w:ascii="Calibri" w:hAnsi="Calibri"/>
                <w:lang w:val="en-US" w:eastAsia="zh-CN"/>
              </w:rPr>
              <w:t xml:space="preserve">不足，说明： 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抽查任职能力情况：</w:t>
            </w: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生产部长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祝涛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学历：专科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专科/中药学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环安科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安全技术管理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专科/机电维护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质量部长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本科/中药学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工艺员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朱攀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电器自动化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科/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电器自动化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操作工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FF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唐秀亮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化学品生产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6年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招聘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管理人员 1 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实招  1 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操作人员 2 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实招  2 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80%</w:t>
                  </w:r>
                </w:p>
              </w:tc>
            </w:tr>
          </w:tbl>
          <w:p>
            <w:pPr>
              <w:rPr>
                <w:rFonts w:hint="default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2019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.10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QEO内审员外部培训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内审员7人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2019年12月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环境因素识别、危险源识别讲解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总经理、环保部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ZY00448883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祝涛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1510484840201556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电梯工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A3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行车工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二级锅炉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342126196211028975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lang w:val="en-US" w:eastAsia="zh-CN"/>
                    </w:rPr>
                    <w:t>2021-9月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陶磊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141815-090423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--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宋学才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BWYQAP201906027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2022.6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BWYQAP201906025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祝涛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BWYQAP201906026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如：《</w:t>
            </w:r>
            <w:r>
              <w:rPr>
                <w:rFonts w:hint="eastAsia"/>
                <w:szCs w:val="22"/>
              </w:rPr>
              <w:t>信息交流、协商与沟通控制程序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color w:val="000000" w:themeColor="text1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color w:val="000000" w:themeColor="text1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环保设施的运行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亳州市环保局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现场查看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行政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2020-3-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排水运样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安徽嘉泰检测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行政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检测合格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FF0000"/>
                <w:highlight w:val="none"/>
              </w:rPr>
            </w:pP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color w:val="000000" w:themeColor="text1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color w:val="000000" w:themeColor="text1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2020-0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环保问题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部门经理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每周办公例会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行政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FF0000"/>
                <w:highlight w:val="none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如：《文件控制程序》、《记录控制程序》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查看《受控文件清单》</w:t>
            </w:r>
          </w:p>
          <w:p>
            <w:pPr>
              <w:rPr>
                <w:color w:val="auto"/>
                <w:highlight w:val="none"/>
              </w:rPr>
            </w:pPr>
          </w:p>
          <w:tbl>
            <w:tblPr>
              <w:tblStyle w:val="7"/>
              <w:tblW w:w="92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560"/>
              <w:gridCol w:w="1223"/>
              <w:gridCol w:w="1006"/>
              <w:gridCol w:w="1921"/>
              <w:gridCol w:w="1060"/>
              <w:gridCol w:w="11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22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921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06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223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921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223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921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相关部门负责人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</w:rPr>
                    <w:t>相关部门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药材和饮片取样操作规程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223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color w:val="000000" w:themeColor="text1"/>
                    </w:rPr>
                    <w:t>12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921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相关车间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</w:rPr>
                    <w:t>相关部门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文件修改控制：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电子文件系统管理：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定期杀毒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定期备份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限值上网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取消USB端口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624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废气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排放标准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2019-0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吴哲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行政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jc w:val="left"/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中药类制药工业水污染物排放标准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2019-0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吴哲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生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产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污水处理设施运行记录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行政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危险废物贮存环节记录表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行政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总经理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《产品/服务提供控制程序》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《图纸》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</w:t>
            </w:r>
          </w:p>
        </w:tc>
        <w:tc>
          <w:tcPr>
            <w:tcW w:w="1279" w:type="dxa"/>
            <w:vMerge w:val="restart"/>
          </w:tcPr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负责焚烧炉和污水处理站的控制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cyan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污水处理站：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污水每日排入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量10吨 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污水每日最大处理量6吨 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污水每日排出量3吨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处理的主要污染物：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石油类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砂石类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酸碱类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有机物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重金属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处理设施：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沉淀池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调节池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厌氧池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好氧池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重金属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查《污水处理操作规程》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抽查污水处理操作记录：</w:t>
            </w:r>
          </w:p>
          <w:tbl>
            <w:tblPr>
              <w:tblStyle w:val="7"/>
              <w:tblW w:w="132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4"/>
              <w:gridCol w:w="1208"/>
              <w:gridCol w:w="2241"/>
              <w:gridCol w:w="2171"/>
              <w:gridCol w:w="2109"/>
              <w:gridCol w:w="2109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218" w:type="dxa"/>
              </w:trPr>
              <w:tc>
                <w:tcPr>
                  <w:tcW w:w="131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2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操作过程</w:t>
                  </w:r>
                </w:p>
              </w:tc>
              <w:tc>
                <w:tcPr>
                  <w:tcW w:w="2241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操作要求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实际操作情况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218" w:type="dxa"/>
                <w:trHeight w:val="399" w:hRule="atLeast"/>
              </w:trPr>
              <w:tc>
                <w:tcPr>
                  <w:tcW w:w="1314" w:type="dxa"/>
                </w:tcPr>
                <w:p>
                  <w:pPr>
                    <w:rPr>
                      <w:rFonts w:hint="default"/>
                      <w:color w:val="auto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2020-04-21</w:t>
                  </w:r>
                </w:p>
              </w:tc>
              <w:tc>
                <w:tcPr>
                  <w:tcW w:w="1208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厌氧池</w:t>
                  </w:r>
                </w:p>
              </w:tc>
              <w:tc>
                <w:tcPr>
                  <w:tcW w:w="2241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218" w:type="dxa"/>
              </w:trPr>
              <w:tc>
                <w:tcPr>
                  <w:tcW w:w="1314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2020-04-21</w:t>
                  </w:r>
                </w:p>
              </w:tc>
              <w:tc>
                <w:tcPr>
                  <w:tcW w:w="1208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好氧池</w:t>
                  </w:r>
                </w:p>
              </w:tc>
              <w:tc>
                <w:tcPr>
                  <w:tcW w:w="2241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71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u w:val="none"/>
                      <w:lang w:val="en-US" w:eastAsia="zh-CN" w:bidi="ar-SA"/>
                    </w:rPr>
                    <w:t>2020-06-02</w:t>
                  </w:r>
                </w:p>
              </w:tc>
              <w:tc>
                <w:tcPr>
                  <w:tcW w:w="12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厌氧池</w:t>
                  </w:r>
                </w:p>
              </w:tc>
              <w:tc>
                <w:tcPr>
                  <w:tcW w:w="22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u w:val="none"/>
                      <w:lang w:val="en-US" w:eastAsia="zh-CN" w:bidi="ar-SA"/>
                    </w:rPr>
                    <w:t>2020-06-02</w:t>
                  </w:r>
                </w:p>
              </w:tc>
              <w:tc>
                <w:tcPr>
                  <w:tcW w:w="12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好氧池</w:t>
                  </w:r>
                </w:p>
              </w:tc>
              <w:tc>
                <w:tcPr>
                  <w:tcW w:w="22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7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曝气5小时，沉淀1小时，排水半小时，休息1小时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锅炉房：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1  </w:t>
            </w:r>
            <w:r>
              <w:rPr>
                <w:rFonts w:hint="eastAsia"/>
                <w:color w:val="auto"/>
                <w:lang w:val="en-US" w:eastAsia="zh-CN"/>
              </w:rPr>
              <w:t xml:space="preserve">台；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lang w:val="en-US" w:eastAsia="zh-CN"/>
              </w:rPr>
              <w:t>吨；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锅炉种类：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燃煤锅炉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燃油锅炉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燃气锅炉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压力锅炉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负压锅炉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负压锅炉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余热锅炉</w:t>
            </w:r>
          </w:p>
          <w:p>
            <w:pPr>
              <w:rPr>
                <w:rFonts w:hint="default"/>
                <w:b/>
                <w:bCs/>
                <w:color w:val="auto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抽查锅炉操作运行记录：</w:t>
            </w:r>
          </w:p>
          <w:p>
            <w:pPr>
              <w:rPr>
                <w:rFonts w:hint="default"/>
                <w:color w:val="auto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2020年1月10号：压力：6MPa,水位：8.5；天然气留量：170m</w:t>
            </w:r>
            <w:r>
              <w:rPr>
                <w:rFonts w:hint="eastAsia"/>
                <w:color w:val="auto"/>
                <w:u w:val="single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；蒸汽流量：1020m</w:t>
            </w:r>
            <w:r>
              <w:rPr>
                <w:rFonts w:hint="eastAsia"/>
                <w:color w:val="auto"/>
                <w:u w:val="single"/>
                <w:vertAlign w:val="superscript"/>
                <w:lang w:val="en-US" w:eastAsia="zh-CN"/>
              </w:rPr>
              <w:t>3;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>软水硬度：合格；天然气压力：3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MPa,</w:t>
            </w:r>
          </w:p>
          <w:p>
            <w:pPr>
              <w:rPr>
                <w:color w:val="auto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szCs w:val="22"/>
                <w:lang w:val="en-US" w:eastAsia="zh-CN"/>
              </w:rPr>
              <w:t>废弃物控制程序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一般工业垃圾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危险废弃物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由相应供方回收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由相应供方回收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看《废弃物回收协议》包括废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弃物的种类：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E8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如：手册第8.1条款、《运行控制程序》、《食堂管理制度》、《设备操作规程》</w:t>
            </w:r>
          </w:p>
          <w:p>
            <w:pPr>
              <w:rPr>
                <w:rFonts w:hint="eastAsia"/>
                <w:color w:val="1D41D5"/>
                <w:lang w:val="en-US" w:eastAsia="zh-CN"/>
              </w:rPr>
            </w:pP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食堂环境管理</w:t>
            </w:r>
          </w:p>
          <w:p>
            <w:pPr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食堂使用原料 ：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 xml:space="preserve">用电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 xml:space="preserve">天然气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 xml:space="preserve">液化石油气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 xml:space="preserve">柴油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可燃气体泄漏报警器配备情况：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 xml:space="preserve">使用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未使用 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</w:rPr>
              <w:t xml:space="preserve"> 液化石油气与作业区隔离   </w:t>
            </w:r>
          </w:p>
          <w:p>
            <w:pPr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查看吸排油烟机运转情况：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完好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不完好 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地沟油定期清掏，油烟机由春瑞环保科技有限公司定期清洁，暂未保留清洁记录 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厨余垃圾处理方名称：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亳州市万家乐园林绿化工程有限公司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口头协议每天过来处理      </w:t>
            </w:r>
          </w:p>
          <w:p>
            <w:pPr>
              <w:rPr>
                <w:rFonts w:hint="default"/>
                <w:color w:val="1D41D5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  <w:szCs w:val="22"/>
                <w:lang w:val="en-US" w:eastAsia="zh-CN"/>
              </w:rPr>
              <w:t>环境监测和测量控制程序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污染物处理监控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《环保日常巡查记录》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MSTNT20191011001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2019 年 11 月 29 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江苏迈斯特环境检测有限公司    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污染物种类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highlight w:val="cyan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224"/>
              <w:gridCol w:w="1450"/>
              <w:gridCol w:w="175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污染物种类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标准名称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主要指标</w:t>
                  </w: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标准要求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实测值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  <w:vMerge w:val="restart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废水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GB8978-96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COD</w:t>
                  </w: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≤500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94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269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24" w:type="dxa"/>
                  <w:vMerge w:val="restart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GB/T31962-2015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氨氮</w:t>
                  </w: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≤45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7.46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vMerge w:val="continue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2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  <w:vAlign w:val="top"/>
                </w:tcPr>
                <w:p>
                  <w:pPr>
                    <w:rPr>
                      <w:rFonts w:hint="default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车间废气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氮氧化物</w:t>
                  </w: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≤240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30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vAlign w:val="top"/>
                </w:tcPr>
                <w:p>
                  <w:pP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粉尘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269" w:type="dxa"/>
                  <w:vAlign w:val="top"/>
                </w:tcPr>
                <w:p>
                  <w:pPr>
                    <w:rPr>
                      <w:rFonts w:hint="default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厂界噪声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GBZ/T189.8-2007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噪声</w:t>
                  </w: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85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《合规性评价控制程序》、或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4"/>
              <w:gridCol w:w="1150"/>
              <w:gridCol w:w="2117"/>
              <w:gridCol w:w="3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15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1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GB8978-1996污水综合排放标准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2020-12</w:t>
                  </w:r>
                </w:p>
              </w:tc>
              <w:tc>
                <w:tcPr>
                  <w:tcW w:w="211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t>GB16297-1996大气污染物综合排放标准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2019-12</w:t>
                  </w:r>
                </w:p>
              </w:tc>
              <w:tc>
                <w:tcPr>
                  <w:tcW w:w="211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安徽省消防条例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2019-12</w:t>
                  </w:r>
                </w:p>
              </w:tc>
              <w:tc>
                <w:tcPr>
                  <w:tcW w:w="211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危化品管理条例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2019-12</w:t>
                  </w:r>
                </w:p>
              </w:tc>
              <w:tc>
                <w:tcPr>
                  <w:tcW w:w="211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color w:val="000000" w:themeColor="text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内部审核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E9.2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rFonts w:hint="eastAsia"/>
                <w:color w:val="auto"/>
                <w:szCs w:val="22"/>
                <w:highlight w:val="none"/>
              </w:rPr>
              <w:t>《内部审核控制程序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2019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5~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6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highlight w:val="none"/>
              </w:rPr>
            </w:pPr>
            <w:r>
              <w:rPr>
                <w:rFonts w:hint="eastAsia"/>
                <w:color w:val="000000" w:themeColor="text1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 w:themeColor="text1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000000" w:themeColor="text1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销售部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、生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产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部、质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量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部</w:t>
            </w:r>
            <w:r>
              <w:rPr>
                <w:rFonts w:hint="eastAsia"/>
                <w:color w:val="000000" w:themeColor="text1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.</w:t>
            </w:r>
            <w:r>
              <w:rPr>
                <w:rFonts w:hint="eastAsia"/>
                <w:color w:val="000000" w:themeColor="text1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财务部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 w:themeColor="text1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 w:themeColor="text1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000000" w:themeColor="text1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highlight w:val="none"/>
              </w:rPr>
            </w:pPr>
            <w:r>
              <w:rPr>
                <w:rFonts w:hint="eastAsia"/>
                <w:color w:val="000000" w:themeColor="text1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highlight w:val="none"/>
                <w:u w:val="single"/>
                <w:shd w:val="clear" w:fill="FFFFFF" w:themeFill="background1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000000" w:themeColor="text1"/>
                <w:szCs w:val="21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不符合项未发生 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不符合项仍然存在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存在不符合但内审未发现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279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t>《不符合与纠正措施控制程序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不符合的来源：无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环保事故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工作运行中检查的问题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</w:rPr>
              <w:t xml:space="preserve">《       》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433"/>
              <w:gridCol w:w="1291"/>
              <w:gridCol w:w="1713"/>
              <w:gridCol w:w="1301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43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29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71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3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3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01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3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3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01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3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13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01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消防安全管理程序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动火管理制度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动土管理制度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color w:val="000000" w:themeColor="text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highlight w:val="none"/>
                <w:lang w:val="en-US" w:eastAsia="zh-CN"/>
              </w:rPr>
              <w:t>消防安全管理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3280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 xml:space="preserve"> 抽看《公司消防设施配置及消防安全巡查记录表》</w:t>
                  </w:r>
                </w:p>
              </w:tc>
              <w:tc>
                <w:tcPr>
                  <w:tcW w:w="3280" w:type="dxa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 xml:space="preserve">日期：  2019-9 -2020.5  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查看巡视频次与规定的一致性</w:t>
                  </w:r>
                </w:p>
              </w:tc>
              <w:tc>
                <w:tcPr>
                  <w:tcW w:w="3280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水箱储水量或液位高度是否合格</w:t>
                  </w:r>
                </w:p>
              </w:tc>
              <w:tc>
                <w:tcPr>
                  <w:tcW w:w="3280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进出口水压力表显示满足要求</w:t>
                  </w:r>
                </w:p>
              </w:tc>
              <w:tc>
                <w:tcPr>
                  <w:tcW w:w="32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控制柜是否自动状态</w:t>
                  </w:r>
                </w:p>
              </w:tc>
              <w:tc>
                <w:tcPr>
                  <w:tcW w:w="3280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如有备用电池是否已足充电</w:t>
                  </w:r>
                </w:p>
              </w:tc>
              <w:tc>
                <w:tcPr>
                  <w:tcW w:w="32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是否按照规定进行了运行确认</w:t>
                  </w:r>
                </w:p>
              </w:tc>
              <w:tc>
                <w:tcPr>
                  <w:tcW w:w="32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每周1次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2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238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1D41D5"/>
                <w:highlight w:val="cyan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65" w:type="dxa"/>
            <w:vAlign w:val="top"/>
          </w:tcPr>
          <w:p>
            <w:pPr>
              <w:rPr>
                <w:rFonts w:hint="default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柴油发电机房管理 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 抽看《柴油发电机组运行记录》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u w:val="single"/>
                      <w:lang w:val="en-US" w:eastAsia="zh-CN"/>
                    </w:rPr>
                    <w:t xml:space="preserve">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查看是否存在柴油泄露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查看柴油存量是否合适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是否按照周期空转运行正常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消防设施完备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是否按照规定进行了运行确认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</w:p>
              </w:tc>
            </w:tr>
          </w:tbl>
          <w:p>
            <w:pPr>
              <w:rPr>
                <w:rFonts w:hint="eastAsia"/>
                <w:color w:val="1D41D5"/>
                <w:highlight w:val="cyan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65" w:type="dxa"/>
            <w:vAlign w:val="top"/>
          </w:tcPr>
          <w:p>
            <w:pPr>
              <w:rPr>
                <w:rFonts w:hint="default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消防中控室管理 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068"/>
              <w:gridCol w:w="3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 xml:space="preserve"> 抽看《消防控制室值班记录》</w:t>
                  </w:r>
                </w:p>
              </w:tc>
              <w:tc>
                <w:tcPr>
                  <w:tcW w:w="2068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查看每班人员数量；（应2人）</w:t>
                  </w:r>
                </w:p>
              </w:tc>
              <w:tc>
                <w:tcPr>
                  <w:tcW w:w="2068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消防值班人员的资质（如消防员）</w:t>
                  </w:r>
                </w:p>
              </w:tc>
              <w:tc>
                <w:tcPr>
                  <w:tcW w:w="2068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配备了应急消防器材和照明用具</w:t>
                  </w:r>
                </w:p>
              </w:tc>
              <w:tc>
                <w:tcPr>
                  <w:tcW w:w="20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  <w:t>消防控制柜显示是否正常状态</w:t>
                  </w:r>
                </w:p>
              </w:tc>
              <w:tc>
                <w:tcPr>
                  <w:tcW w:w="2068" w:type="dxa"/>
                </w:tcPr>
                <w:p>
                  <w:pPr>
                    <w:rPr>
                      <w:rFonts w:hint="eastAsia"/>
                      <w:color w:val="000000" w:themeColor="text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如果有故障，报修和处理情况</w:t>
                  </w:r>
                </w:p>
              </w:tc>
              <w:tc>
                <w:tcPr>
                  <w:tcW w:w="20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如果有误报，进行了火情确认</w:t>
                  </w:r>
                </w:p>
              </w:tc>
              <w:tc>
                <w:tcPr>
                  <w:tcW w:w="20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每2小时巡视一次并记录</w:t>
                  </w:r>
                </w:p>
              </w:tc>
              <w:tc>
                <w:tcPr>
                  <w:tcW w:w="20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59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000000" w:themeColor="text1"/>
                <w:highlight w:val="cyan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消防设施维护</w:t>
            </w: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建筑名称：  </w:t>
            </w: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维护机构： </w:t>
            </w: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维修保养期限： </w:t>
            </w:r>
          </w:p>
          <w:p>
            <w:pPr>
              <w:rPr>
                <w:rFonts w:hint="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查：生产车间内消防设施每天换班点检一次</w:t>
            </w:r>
          </w:p>
          <w:p>
            <w:pPr>
              <w:rPr>
                <w:rFonts w:hint="default"/>
                <w:color w:val="1D41D5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highlight w:val="none"/>
                <w:lang w:val="en-US" w:eastAsia="zh-CN"/>
              </w:rPr>
              <w:t>生产区域消防器材点检记录均为每月四次，车间内为每日一次。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65" w:type="dxa"/>
          </w:tcPr>
          <w:p>
            <w:pP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动火作业管理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p>
            <w:pPr>
              <w:rPr>
                <w:rFonts w:hint="default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抽看《动火作业票》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批准的期限与动火的等级一致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查看动火人员具备资质（如焊工），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配备了消防器材和隔离措施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是否配备了监护人员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进行了施工后的验收</w:t>
                  </w:r>
                </w:p>
              </w:tc>
              <w:tc>
                <w:tcPr>
                  <w:tcW w:w="22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65" w:type="dxa"/>
          </w:tcPr>
          <w:p>
            <w:pPr>
              <w:rPr>
                <w:rFonts w:hint="default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动土作业管理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已发生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9"/>
              <w:gridCol w:w="2271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抽看《动土作业票》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查看审批人与授权人一致；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查看动土位置，查阅厂区图等资料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7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确保施工中无地下管道泄露的风险</w:t>
                  </w:r>
                </w:p>
              </w:tc>
              <w:tc>
                <w:tcPr>
                  <w:tcW w:w="227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CB1BB3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7C477E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107EF"/>
    <w:rsid w:val="21D24208"/>
    <w:rsid w:val="226B2F60"/>
    <w:rsid w:val="22813299"/>
    <w:rsid w:val="229F2D1A"/>
    <w:rsid w:val="23363714"/>
    <w:rsid w:val="23461CA8"/>
    <w:rsid w:val="23593BAD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693962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125B3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5E95C5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422CD4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124CF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  <w:style w:type="paragraph" w:styleId="1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2020-06-18T08:24:37Z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