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101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水质监测仪氨氮示值误差检验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zh-CN" w:bidi="en-US"/>
              </w:rPr>
              <w:t>标物浓度8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lang w:val="en-US" w:eastAsia="en-US" w:bidi="en-US"/>
              </w:rPr>
              <w:t>mg/L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0.91%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</w:rPr>
              <w:t>溶液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1000ug/mL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420" w:leftChars="100" w:hanging="210" w:hangingChars="100"/>
              <w:rPr>
                <w:rFonts w:hint="eastAsia"/>
              </w:rPr>
            </w:pPr>
            <w:r>
              <w:rPr>
                <w:rFonts w:hint="eastAsia" w:ascii="宋体" w:hAnsi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=0.7%</w:t>
            </w:r>
            <w:r>
              <w:rPr>
                <w:rFonts w:hint="eastAsia" w:ascii="宋体" w:hAnsi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XMSTDCLGF 8.2.4 -1</w:t>
            </w: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Q/XSTD239-2018 一体化水质监测系统（氨氮）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eastAsia="zh-CN"/>
              </w:rPr>
              <w:t>）℃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李少阳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：测量过程不确定度的评定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：测量过程有效性确认记录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：监视</w:t>
            </w:r>
            <w:r>
              <w:rPr>
                <w:rFonts w:hint="eastAsia" w:ascii="Times New Roman" w:hAnsi="Times New Roman"/>
                <w:lang w:eastAsia="zh-CN"/>
              </w:rPr>
              <w:t>方法、</w:t>
            </w:r>
            <w:r>
              <w:rPr>
                <w:rFonts w:hint="eastAsia" w:ascii="Times New Roman" w:hAnsi="Times New Roman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监视控制图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FD12"/>
    <w:multiLevelType w:val="singleLevel"/>
    <w:tmpl w:val="1B1FFD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20E7147"/>
    <w:rsid w:val="03455AFF"/>
    <w:rsid w:val="0EDD25A6"/>
    <w:rsid w:val="1B3267F9"/>
    <w:rsid w:val="215E56CA"/>
    <w:rsid w:val="28A8052C"/>
    <w:rsid w:val="3F01042B"/>
    <w:rsid w:val="40FC20FC"/>
    <w:rsid w:val="4BE956E3"/>
    <w:rsid w:val="4DAE6486"/>
    <w:rsid w:val="58FF3EBE"/>
    <w:rsid w:val="59757912"/>
    <w:rsid w:val="64C84113"/>
    <w:rsid w:val="65FA4C5B"/>
    <w:rsid w:val="69141FEE"/>
    <w:rsid w:val="70332EB6"/>
    <w:rsid w:val="7BA60639"/>
    <w:rsid w:val="7DF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2020-05-28T23:26:38Z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