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10645-2024-QE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广州奥乐奥游乐设备有限公司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tc>
        <w:tc>
          <w:tcPr>
            <w:tcW w:w="3145" w:type="dxa"/>
            <w:vAlign w:val="center"/>
          </w:tcPr>
          <w:p w:rsidR="00A824E9">
            <w:pPr>
              <w:spacing w:line="360" w:lineRule="exact"/>
              <w:jc w:val="center"/>
              <w:rPr>
                <w:b/>
                <w:szCs w:val="21"/>
              </w:rPr>
            </w:pPr>
            <w:r>
              <w:rPr>
                <w:b/>
                <w:szCs w:val="21"/>
              </w:rPr>
              <w:t>Q:23.05.00</w:t>
            </w:r>
          </w:p>
          <w:p w:rsidR="00A824E9">
            <w:pPr>
              <w:spacing w:line="360" w:lineRule="exact"/>
              <w:jc w:val="center"/>
              <w:rPr>
                <w:b/>
                <w:szCs w:val="21"/>
              </w:rPr>
            </w:pPr>
            <w:r>
              <w:rPr>
                <w:b/>
                <w:szCs w:val="21"/>
              </w:rPr>
              <w:t>E:23.05.00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广州市花都区狮岭镇狮岭大道东18号之三C栋102室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广州市花都区狮岭镇狮岭大道东18号之三C栋102室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