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right"/>
        <w:rPr>
          <w:rFonts w:eastAsia="楷体"/>
          <w:color w:val="000000"/>
          <w:sz w:val="28"/>
          <w:szCs w:val="28"/>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w:t>
      </w:r>
      <w:bookmarkStart w:id="0" w:name="合同编号"/>
      <w:r>
        <w:rPr>
          <w:rFonts w:hint="eastAsia"/>
          <w:szCs w:val="44"/>
          <w:u w:val="single"/>
        </w:rPr>
        <w:t>0181-2020-QEO</w:t>
      </w:r>
      <w:bookmarkEnd w:id="0"/>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 xml:space="preserve">  </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ascii="楷体" w:hAnsi="楷体" w:eastAsia="楷体"/>
          <w:b/>
          <w:color w:val="000000"/>
          <w:sz w:val="32"/>
          <w:szCs w:val="32"/>
          <w:u w:val="single"/>
        </w:rPr>
        <w:t>安徽鑫泰药业有限公司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 xml:space="preserve">2020年5月23日下午：至 2020年5月24日 下午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A8"/>
            </w:r>
            <w:r>
              <w:rPr>
                <w:rFonts w:hint="eastAsia" w:ascii="宋体"/>
                <w:b/>
                <w:color w:val="000000"/>
                <w:szCs w:val="21"/>
              </w:rPr>
              <w:t xml:space="preserve">企业现场     </w:t>
            </w:r>
            <w:r>
              <w:rPr>
                <w:rFonts w:hint="eastAsia" w:ascii="宋体"/>
                <w:b/>
                <w:color w:val="000000"/>
                <w:szCs w:val="21"/>
              </w:rPr>
              <w:sym w:font="Wingdings" w:char="00FE"/>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w:t>
            </w:r>
            <w:r>
              <w:rPr>
                <w:rFonts w:hint="eastAsia" w:ascii="宋体" w:hAnsi="宋体"/>
                <w:b/>
                <w:szCs w:val="21"/>
                <w:lang w:val="de-DE"/>
              </w:rPr>
              <w:t>GB/T45001—2020</w:t>
            </w:r>
            <w:r>
              <w:rPr>
                <w:rFonts w:hint="eastAsia" w:ascii="宋体" w:hAnsi="宋体"/>
                <w:b/>
                <w:color w:val="000000"/>
                <w:szCs w:val="21"/>
                <w:lang w:val="de-DE"/>
              </w:rPr>
              <w:t xml:space="preserve"> ☑ISO45001：2018标准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217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Cs w:val="21"/>
              </w:rPr>
            </w:pPr>
            <w:r>
              <w:rPr>
                <w:rFonts w:hint="eastAsia"/>
                <w:szCs w:val="21"/>
              </w:rPr>
              <w:t>姓名</w:t>
            </w:r>
          </w:p>
        </w:tc>
        <w:tc>
          <w:tcPr>
            <w:tcW w:w="1089" w:type="dxa"/>
            <w:vAlign w:val="center"/>
          </w:tcPr>
          <w:p>
            <w:pPr>
              <w:jc w:val="center"/>
              <w:rPr>
                <w:szCs w:val="21"/>
              </w:rPr>
            </w:pPr>
            <w:r>
              <w:rPr>
                <w:rFonts w:hint="eastAsia"/>
                <w:szCs w:val="21"/>
              </w:rPr>
              <w:t>组内</w:t>
            </w:r>
          </w:p>
          <w:p>
            <w:pPr>
              <w:jc w:val="center"/>
              <w:rPr>
                <w:b/>
                <w:color w:val="000000"/>
                <w:szCs w:val="21"/>
              </w:rPr>
            </w:pPr>
            <w:r>
              <w:rPr>
                <w:rFonts w:hint="eastAsia"/>
                <w:szCs w:val="21"/>
              </w:rPr>
              <w:t>身份</w:t>
            </w:r>
          </w:p>
        </w:tc>
        <w:tc>
          <w:tcPr>
            <w:tcW w:w="711" w:type="dxa"/>
            <w:vAlign w:val="center"/>
          </w:tcPr>
          <w:p>
            <w:pPr>
              <w:jc w:val="center"/>
              <w:rPr>
                <w:b/>
                <w:color w:val="000000"/>
                <w:szCs w:val="21"/>
              </w:rPr>
            </w:pPr>
            <w:r>
              <w:rPr>
                <w:rFonts w:hint="eastAsia"/>
                <w:szCs w:val="21"/>
              </w:rPr>
              <w:t>性别</w:t>
            </w:r>
          </w:p>
        </w:tc>
        <w:tc>
          <w:tcPr>
            <w:tcW w:w="3870" w:type="dxa"/>
            <w:vAlign w:val="center"/>
          </w:tcPr>
          <w:p>
            <w:pPr>
              <w:jc w:val="center"/>
              <w:rPr>
                <w:b/>
                <w:color w:val="000000"/>
                <w:szCs w:val="21"/>
              </w:rPr>
            </w:pPr>
            <w:r>
              <w:rPr>
                <w:rFonts w:hint="eastAsia"/>
                <w:szCs w:val="21"/>
              </w:rPr>
              <w:t>注册资格</w:t>
            </w:r>
          </w:p>
        </w:tc>
        <w:tc>
          <w:tcPr>
            <w:tcW w:w="2179" w:type="dxa"/>
            <w:vAlign w:val="center"/>
          </w:tcPr>
          <w:p>
            <w:pPr>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jc w:val="center"/>
              <w:rPr>
                <w:b/>
                <w:color w:val="000000"/>
                <w:szCs w:val="21"/>
              </w:rPr>
            </w:pPr>
            <w:r>
              <w:rPr>
                <w:b/>
                <w:color w:val="000000"/>
                <w:sz w:val="20"/>
                <w:szCs w:val="20"/>
              </w:rPr>
              <w:t>张磊</w:t>
            </w:r>
          </w:p>
        </w:tc>
        <w:tc>
          <w:tcPr>
            <w:tcW w:w="1089" w:type="dxa"/>
            <w:vAlign w:val="center"/>
          </w:tcPr>
          <w:p>
            <w:pPr>
              <w:spacing w:line="240" w:lineRule="exact"/>
              <w:jc w:val="center"/>
              <w:rPr>
                <w:b/>
                <w:color w:val="000000"/>
                <w:szCs w:val="21"/>
              </w:rPr>
            </w:pPr>
            <w:r>
              <w:rPr>
                <w:sz w:val="18"/>
                <w:szCs w:val="18"/>
              </w:rPr>
              <w:t>组长</w:t>
            </w:r>
          </w:p>
        </w:tc>
        <w:tc>
          <w:tcPr>
            <w:tcW w:w="711" w:type="dxa"/>
            <w:vAlign w:val="center"/>
          </w:tcPr>
          <w:p>
            <w:pPr>
              <w:spacing w:line="240" w:lineRule="exact"/>
              <w:jc w:val="center"/>
              <w:rPr>
                <w:b/>
                <w:color w:val="000000"/>
                <w:szCs w:val="21"/>
              </w:rPr>
            </w:pPr>
            <w:r>
              <w:rPr>
                <w:b/>
                <w:color w:val="000000"/>
                <w:sz w:val="20"/>
                <w:szCs w:val="20"/>
              </w:rPr>
              <w:t>男</w:t>
            </w:r>
          </w:p>
        </w:tc>
        <w:tc>
          <w:tcPr>
            <w:tcW w:w="3870" w:type="dxa"/>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Cs w:val="21"/>
              </w:rPr>
            </w:pPr>
            <w:r>
              <w:rPr>
                <w:b/>
                <w:color w:val="000000"/>
                <w:sz w:val="20"/>
                <w:szCs w:val="20"/>
              </w:rPr>
              <w:t>O:审核员</w:t>
            </w:r>
          </w:p>
        </w:tc>
        <w:tc>
          <w:tcPr>
            <w:tcW w:w="2179"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Cs w:val="21"/>
              </w:rPr>
            </w:pPr>
            <w:r>
              <w:rPr>
                <w:b/>
                <w:color w:val="000000"/>
                <w:sz w:val="20"/>
                <w:szCs w:val="20"/>
              </w:rPr>
              <w:t>李青</w:t>
            </w:r>
          </w:p>
        </w:tc>
        <w:tc>
          <w:tcPr>
            <w:tcW w:w="1089" w:type="dxa"/>
            <w:vAlign w:val="center"/>
          </w:tcPr>
          <w:p>
            <w:pPr>
              <w:spacing w:line="240" w:lineRule="exact"/>
              <w:jc w:val="center"/>
              <w:rPr>
                <w:b/>
                <w:color w:val="000000"/>
                <w:szCs w:val="21"/>
              </w:rPr>
            </w:pPr>
            <w:r>
              <w:rPr>
                <w:sz w:val="18"/>
                <w:szCs w:val="18"/>
              </w:rPr>
              <w:t>组员</w:t>
            </w:r>
          </w:p>
        </w:tc>
        <w:tc>
          <w:tcPr>
            <w:tcW w:w="711" w:type="dxa"/>
            <w:vAlign w:val="center"/>
          </w:tcPr>
          <w:p>
            <w:pPr>
              <w:spacing w:line="240" w:lineRule="exact"/>
              <w:jc w:val="center"/>
              <w:rPr>
                <w:b/>
                <w:color w:val="000000"/>
                <w:szCs w:val="21"/>
              </w:rPr>
            </w:pPr>
            <w:r>
              <w:rPr>
                <w:b/>
                <w:color w:val="000000"/>
                <w:sz w:val="20"/>
                <w:szCs w:val="20"/>
              </w:rPr>
              <w:t>女</w:t>
            </w:r>
          </w:p>
        </w:tc>
        <w:tc>
          <w:tcPr>
            <w:tcW w:w="3870" w:type="dxa"/>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Cs w:val="21"/>
              </w:rPr>
            </w:pPr>
            <w:r>
              <w:rPr>
                <w:b/>
                <w:color w:val="000000"/>
                <w:sz w:val="20"/>
                <w:szCs w:val="20"/>
              </w:rPr>
              <w:t>E:实习审核员</w:t>
            </w:r>
          </w:p>
        </w:tc>
        <w:tc>
          <w:tcPr>
            <w:tcW w:w="2179"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Cs w:val="21"/>
              </w:rPr>
            </w:pPr>
            <w:r>
              <w:rPr>
                <w:b/>
                <w:color w:val="000000"/>
                <w:sz w:val="20"/>
                <w:szCs w:val="20"/>
              </w:rPr>
              <w:t>胡益民</w:t>
            </w:r>
          </w:p>
        </w:tc>
        <w:tc>
          <w:tcPr>
            <w:tcW w:w="1089" w:type="dxa"/>
            <w:vAlign w:val="center"/>
          </w:tcPr>
          <w:p>
            <w:pPr>
              <w:spacing w:line="240" w:lineRule="exact"/>
              <w:jc w:val="center"/>
              <w:rPr>
                <w:b/>
                <w:color w:val="000000"/>
                <w:szCs w:val="21"/>
              </w:rPr>
            </w:pPr>
            <w:r>
              <w:rPr>
                <w:sz w:val="18"/>
                <w:szCs w:val="18"/>
              </w:rPr>
              <w:t>组员</w:t>
            </w:r>
          </w:p>
        </w:tc>
        <w:tc>
          <w:tcPr>
            <w:tcW w:w="711" w:type="dxa"/>
            <w:vAlign w:val="center"/>
          </w:tcPr>
          <w:p>
            <w:pPr>
              <w:spacing w:line="240" w:lineRule="exact"/>
              <w:jc w:val="center"/>
              <w:rPr>
                <w:b/>
                <w:color w:val="000000"/>
                <w:szCs w:val="21"/>
              </w:rPr>
            </w:pPr>
            <w:r>
              <w:rPr>
                <w:b/>
                <w:color w:val="000000"/>
                <w:sz w:val="20"/>
                <w:szCs w:val="20"/>
              </w:rPr>
              <w:t>男</w:t>
            </w:r>
          </w:p>
        </w:tc>
        <w:tc>
          <w:tcPr>
            <w:tcW w:w="3870" w:type="dxa"/>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Cs w:val="21"/>
              </w:rPr>
            </w:pPr>
            <w:r>
              <w:rPr>
                <w:b/>
                <w:color w:val="000000"/>
                <w:sz w:val="20"/>
                <w:szCs w:val="20"/>
              </w:rPr>
              <w:t>E:实习审核员</w:t>
            </w:r>
          </w:p>
        </w:tc>
        <w:tc>
          <w:tcPr>
            <w:tcW w:w="2179" w:type="dxa"/>
            <w:vAlign w:val="center"/>
          </w:tcPr>
          <w:p>
            <w:r>
              <w:t>Q：13.02.00</w:t>
            </w:r>
          </w:p>
          <w:p>
            <w:r>
              <w:t>E：13.02.00</w:t>
            </w:r>
          </w:p>
          <w:p>
            <w:pPr>
              <w:spacing w:line="240" w:lineRule="exact"/>
              <w:jc w:val="left"/>
              <w:rPr>
                <w:b/>
                <w:color w:val="000000"/>
                <w:szCs w:val="21"/>
              </w:rPr>
            </w:pPr>
            <w:r>
              <w:t>O：13.02.00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Cs w:val="21"/>
              </w:rPr>
            </w:pPr>
            <w:r>
              <w:rPr>
                <w:b/>
                <w:color w:val="000000"/>
                <w:sz w:val="20"/>
                <w:szCs w:val="20"/>
              </w:rPr>
              <w:t>郝本东</w:t>
            </w:r>
          </w:p>
        </w:tc>
        <w:tc>
          <w:tcPr>
            <w:tcW w:w="1089" w:type="dxa"/>
            <w:vAlign w:val="center"/>
          </w:tcPr>
          <w:p>
            <w:pPr>
              <w:spacing w:line="240" w:lineRule="exact"/>
              <w:jc w:val="center"/>
              <w:rPr>
                <w:b/>
                <w:color w:val="000000"/>
                <w:szCs w:val="21"/>
              </w:rPr>
            </w:pPr>
            <w:r>
              <w:rPr>
                <w:sz w:val="18"/>
                <w:szCs w:val="18"/>
              </w:rPr>
              <w:t>组员</w:t>
            </w:r>
          </w:p>
        </w:tc>
        <w:tc>
          <w:tcPr>
            <w:tcW w:w="711" w:type="dxa"/>
            <w:vAlign w:val="center"/>
          </w:tcPr>
          <w:p>
            <w:pPr>
              <w:spacing w:line="240" w:lineRule="exact"/>
              <w:jc w:val="center"/>
              <w:rPr>
                <w:b/>
                <w:color w:val="000000"/>
                <w:szCs w:val="21"/>
              </w:rPr>
            </w:pPr>
            <w:r>
              <w:rPr>
                <w:b/>
                <w:color w:val="000000"/>
                <w:sz w:val="20"/>
                <w:szCs w:val="20"/>
              </w:rPr>
              <w:t>男</w:t>
            </w:r>
          </w:p>
        </w:tc>
        <w:tc>
          <w:tcPr>
            <w:tcW w:w="3870" w:type="dxa"/>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Cs w:val="21"/>
              </w:rPr>
            </w:pPr>
            <w:r>
              <w:rPr>
                <w:b/>
                <w:color w:val="000000"/>
                <w:sz w:val="20"/>
                <w:szCs w:val="20"/>
              </w:rPr>
              <w:t>F:审核员</w:t>
            </w:r>
            <w:bookmarkStart w:id="16" w:name="_GoBack"/>
            <w:bookmarkEnd w:id="16"/>
          </w:p>
        </w:tc>
        <w:tc>
          <w:tcPr>
            <w:tcW w:w="2179"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179"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870" w:type="dxa"/>
            <w:vAlign w:val="center"/>
          </w:tcPr>
          <w:p>
            <w:pPr>
              <w:rPr>
                <w:b/>
                <w:color w:val="000000"/>
                <w:szCs w:val="21"/>
              </w:rPr>
            </w:pP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179"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color w:val="000000"/>
                <w:szCs w:val="21"/>
              </w:rPr>
              <w:t>安徽鑫泰药业有限公司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生产地址"/>
            <w:r>
              <w:t>亳州芜湖现代产业园区茴香路269号</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230601</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r>
              <w:t>亳州芜湖现代产业园区茴香路269号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t>亳州芜湖现代产业园区茴香路269号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7" w:name="生产邮编Add1"/>
            <w:r>
              <w:rPr>
                <w:rFonts w:ascii="宋体"/>
                <w:b/>
                <w:color w:val="000000"/>
                <w:sz w:val="20"/>
                <w:szCs w:val="20"/>
              </w:rPr>
              <w:t>230601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8" w:name="联系人Add1"/>
            <w:r>
              <w:rPr>
                <w:rFonts w:ascii="宋体"/>
                <w:b/>
                <w:color w:val="000000"/>
                <w:sz w:val="20"/>
                <w:szCs w:val="20"/>
              </w:rPr>
              <w:t>吴哲</w:t>
            </w:r>
            <w:bookmarkEnd w:id="8"/>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9" w:name="联系人电话Add1"/>
            <w:r>
              <w:rPr>
                <w:rFonts w:ascii="宋体"/>
                <w:b/>
                <w:color w:val="000000"/>
                <w:sz w:val="20"/>
                <w:szCs w:val="20"/>
              </w:rPr>
              <w:t>0558-5559067</w:t>
            </w:r>
            <w:bookmarkEnd w:id="9"/>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0" w:name="联系人传真Add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1" w:name="法人"/>
            <w:r>
              <w:rPr>
                <w:rFonts w:ascii="宋体"/>
                <w:b/>
                <w:color w:val="000000"/>
                <w:sz w:val="20"/>
                <w:szCs w:val="20"/>
              </w:rPr>
              <w:t>宋学才</w:t>
            </w:r>
            <w:bookmarkEnd w:id="11"/>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2" w:name="管理者代表"/>
            <w:r>
              <w:rPr>
                <w:rFonts w:ascii="宋体"/>
                <w:b/>
                <w:color w:val="000000"/>
                <w:sz w:val="20"/>
                <w:szCs w:val="20"/>
              </w:rPr>
              <w:t>吴哲</w:t>
            </w:r>
            <w:bookmarkEnd w:id="12"/>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3" w:name="联系人邮箱Add1"/>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4" w:name="审核范围"/>
            <w:r>
              <w:rPr>
                <w:rFonts w:ascii="宋体" w:hAnsi="宋体"/>
                <w:b/>
                <w:color w:val="000000"/>
                <w:sz w:val="20"/>
                <w:szCs w:val="20"/>
              </w:rPr>
              <w:t>Q：中药饮片的生产（限资质范围内）</w:t>
            </w:r>
          </w:p>
          <w:p>
            <w:pPr>
              <w:spacing w:line="400" w:lineRule="exact"/>
              <w:rPr>
                <w:rFonts w:ascii="宋体" w:hAnsi="宋体"/>
                <w:b/>
                <w:color w:val="000000"/>
                <w:sz w:val="20"/>
                <w:szCs w:val="20"/>
              </w:rPr>
            </w:pPr>
            <w:r>
              <w:rPr>
                <w:rFonts w:ascii="宋体" w:hAnsi="宋体"/>
                <w:b/>
                <w:color w:val="000000"/>
                <w:sz w:val="20"/>
                <w:szCs w:val="20"/>
              </w:rPr>
              <w:t>E：中药饮片的生产（限资质范围内）所涉及的相关环境管理活动</w:t>
            </w:r>
          </w:p>
          <w:p>
            <w:pPr>
              <w:spacing w:line="400" w:lineRule="exact"/>
              <w:rPr>
                <w:rFonts w:ascii="宋体" w:hAnsi="宋体"/>
                <w:b/>
                <w:color w:val="000000"/>
                <w:sz w:val="20"/>
                <w:szCs w:val="20"/>
              </w:rPr>
            </w:pPr>
            <w:r>
              <w:rPr>
                <w:rFonts w:ascii="宋体" w:hAnsi="宋体"/>
                <w:b/>
                <w:color w:val="000000"/>
                <w:sz w:val="20"/>
                <w:szCs w:val="20"/>
              </w:rPr>
              <w:t>O：中药饮片的生产（限资质范围内）所涉及的相关职业健康安全管理活动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5" w:name="专业代码"/>
            <w:r>
              <w:rPr>
                <w:rFonts w:ascii="宋体"/>
                <w:b/>
                <w:color w:val="000000"/>
                <w:sz w:val="20"/>
                <w:szCs w:val="20"/>
              </w:rPr>
              <w:t>Q：13.02.00</w:t>
            </w:r>
          </w:p>
          <w:p>
            <w:pPr>
              <w:spacing w:line="280" w:lineRule="exact"/>
              <w:rPr>
                <w:rFonts w:ascii="宋体"/>
                <w:b/>
                <w:color w:val="000000"/>
                <w:sz w:val="20"/>
                <w:szCs w:val="20"/>
              </w:rPr>
            </w:pPr>
            <w:r>
              <w:rPr>
                <w:rFonts w:ascii="宋体"/>
                <w:b/>
                <w:color w:val="000000"/>
                <w:sz w:val="20"/>
                <w:szCs w:val="20"/>
              </w:rPr>
              <w:t>E：13.02.00</w:t>
            </w:r>
          </w:p>
          <w:p>
            <w:pPr>
              <w:spacing w:line="280" w:lineRule="exact"/>
              <w:rPr>
                <w:rFonts w:ascii="宋体"/>
                <w:b/>
                <w:color w:val="000000"/>
                <w:sz w:val="20"/>
                <w:szCs w:val="20"/>
              </w:rPr>
            </w:pPr>
            <w:r>
              <w:rPr>
                <w:rFonts w:ascii="宋体"/>
                <w:b/>
                <w:color w:val="000000"/>
                <w:sz w:val="20"/>
                <w:szCs w:val="20"/>
              </w:rPr>
              <w:t>O：13.02.00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于2019年9月 11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2019年12月15日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2020年1月15日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rPr>
              <w:t>药材炮制过程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w:t>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C2D69B" w:themeFill="accent3" w:themeFillTint="99"/>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92" w:hRule="atLeast"/>
          <w:jc w:val="center"/>
        </w:trPr>
        <w:tc>
          <w:tcPr>
            <w:tcW w:w="9772" w:type="dxa"/>
            <w:gridSpan w:val="4"/>
            <w:shd w:val="clear" w:color="auto" w:fill="C2D69B" w:themeFill="accent3" w:themeFillTint="99"/>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19"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vAlign w:val="center"/>
          </w:tcPr>
          <w:p>
            <w:pPr>
              <w:ind w:left="-1" w:leftChars="-1" w:hanging="1"/>
              <w:jc w:val="left"/>
              <w:rPr>
                <w:rFonts w:ascii="宋体"/>
                <w:color w:val="auto"/>
                <w:szCs w:val="21"/>
              </w:rPr>
            </w:pPr>
            <w:r>
              <w:rPr>
                <w:rFonts w:hint="eastAsia" w:ascii="宋体" w:hAnsi="宋体"/>
                <w:color w:val="auto"/>
                <w:szCs w:val="21"/>
              </w:rPr>
              <w:t>环境管理体系认证范围内的合规性证据</w:t>
            </w: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是否按法规办理了环境影响评价登记表/报告表/报告书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是否按法规办理了环境影响评价报告表/报告书的批复</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是否按法规办理了环境影响评价报告表/报告书的验收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环境影响评价的结果与企业申请认证范围是否一致</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是否按法规办理了《排污许可证》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是否提供近期环境监测报告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shd w:val="clear" w:color="auto" w:fill="C2D69B" w:themeFill="accent3" w:themeFillTint="99"/>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C2D69B" w:themeFill="accent3" w:themeFillTint="99"/>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70" w:type="dxa"/>
            <w:bottom w:w="0" w:type="dxa"/>
            <w:right w:w="70" w:type="dxa"/>
          </w:tblCellMar>
        </w:tblPrEx>
        <w:trPr>
          <w:cantSplit/>
          <w:trHeight w:val="57" w:hRule="atLeast"/>
        </w:trPr>
        <w:tc>
          <w:tcPr>
            <w:tcW w:w="9754" w:type="dxa"/>
            <w:gridSpan w:val="4"/>
            <w:shd w:val="clear" w:color="auto" w:fill="DBEEF3" w:themeFill="accent5" w:themeFillTint="32"/>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FE"/>
            </w:r>
            <w:r>
              <w:rPr>
                <w:rFonts w:hint="eastAsia" w:ascii="宋体" w:hAnsi="宋体"/>
                <w:b/>
                <w:szCs w:val="21"/>
              </w:rPr>
              <w:t>GB/T45001—2020</w:t>
            </w:r>
            <w:r>
              <w:rPr>
                <w:rFonts w:hint="eastAsia" w:ascii="宋体" w:hAnsi="宋体"/>
                <w:b/>
                <w:color w:val="000000"/>
                <w:szCs w:val="21"/>
              </w:rPr>
              <w:t xml:space="preserve"> </w:t>
            </w:r>
            <w:r>
              <w:rPr>
                <w:rFonts w:hint="eastAsia" w:ascii="宋体" w:hAnsi="宋体"/>
                <w:b/>
                <w:color w:val="000000"/>
                <w:szCs w:val="21"/>
                <w:lang w:val="de-DE"/>
              </w:rPr>
              <w:t>☑ISO45001：2018标准</w:t>
            </w:r>
            <w:r>
              <w:rPr>
                <w:rFonts w:eastAsia="黑体"/>
                <w:b/>
                <w:szCs w:val="21"/>
              </w:rPr>
              <w:t xml:space="preserve">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DBEEF3" w:themeFill="accent5" w:themeFillTint="32"/>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vAlign w:val="center"/>
          </w:tcPr>
          <w:p>
            <w:pPr>
              <w:ind w:left="-1" w:leftChars="-1" w:hanging="1"/>
              <w:jc w:val="left"/>
              <w:rPr>
                <w:rFonts w:ascii="宋体"/>
                <w:color w:val="auto"/>
                <w:szCs w:val="21"/>
              </w:rPr>
            </w:pPr>
            <w:r>
              <w:rPr>
                <w:rFonts w:hint="eastAsia" w:ascii="宋体" w:hAnsi="宋体"/>
                <w:color w:val="auto"/>
                <w:szCs w:val="21"/>
              </w:rPr>
              <w:t>受审核方职业健康安全管理体系认证范围内的合规性证据</w:t>
            </w: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是否有安全预评价/现状评价报告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是否有职业健康预评估/现状评价报告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是否有消防验收报告/备案登记</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是否提供近一年的作业场所有害物质监测报告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是否提供近一年的职业健康体检报告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DBEEF3" w:themeFill="accent5" w:themeFillTint="32"/>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szCs w:val="21"/>
        </w:rPr>
        <w:drawing>
          <wp:anchor distT="0" distB="0" distL="114300" distR="114300" simplePos="0" relativeHeight="251678720" behindDoc="0" locked="0" layoutInCell="1" allowOverlap="1">
            <wp:simplePos x="0" y="0"/>
            <wp:positionH relativeFrom="column">
              <wp:posOffset>2008505</wp:posOffset>
            </wp:positionH>
            <wp:positionV relativeFrom="paragraph">
              <wp:posOffset>287655</wp:posOffset>
            </wp:positionV>
            <wp:extent cx="514350" cy="371475"/>
            <wp:effectExtent l="0" t="0" r="0" b="9525"/>
            <wp:wrapNone/>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szCs w:val="21"/>
        </w:rPr>
        <w:drawing>
          <wp:anchor distT="0" distB="0" distL="114300" distR="114300" simplePos="0" relativeHeight="251671552" behindDoc="0" locked="0" layoutInCell="1" allowOverlap="1">
            <wp:simplePos x="0" y="0"/>
            <wp:positionH relativeFrom="column">
              <wp:posOffset>4835525</wp:posOffset>
            </wp:positionH>
            <wp:positionV relativeFrom="paragraph">
              <wp:posOffset>133985</wp:posOffset>
            </wp:positionV>
            <wp:extent cx="600075" cy="342900"/>
            <wp:effectExtent l="0" t="0" r="9525" b="0"/>
            <wp:wrapNone/>
            <wp:docPr id="7" name="图片 7" descr="郝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郝本东"/>
                    <pic:cNvPicPr>
                      <a:picLocks noChangeAspect="1"/>
                    </pic:cNvPicPr>
                  </pic:nvPicPr>
                  <pic:blipFill>
                    <a:blip r:embed="rId7"/>
                    <a:stretch>
                      <a:fillRect/>
                    </a:stretch>
                  </pic:blipFill>
                  <pic:spPr>
                    <a:xfrm>
                      <a:off x="0" y="0"/>
                      <a:ext cx="600075" cy="34290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宋体"/>
          <w:lang w:eastAsia="zh-CN"/>
        </w:rPr>
        <w:drawing>
          <wp:anchor distT="0" distB="0" distL="114300" distR="114300" simplePos="0" relativeHeight="251700224" behindDoc="0" locked="0" layoutInCell="1" allowOverlap="1">
            <wp:simplePos x="0" y="0"/>
            <wp:positionH relativeFrom="column">
              <wp:posOffset>5855970</wp:posOffset>
            </wp:positionH>
            <wp:positionV relativeFrom="paragraph">
              <wp:posOffset>146685</wp:posOffset>
            </wp:positionV>
            <wp:extent cx="364490" cy="342265"/>
            <wp:effectExtent l="0" t="0" r="3810" b="635"/>
            <wp:wrapNone/>
            <wp:docPr id="8" name="图片 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590027124(1)"/>
                    <pic:cNvPicPr>
                      <a:picLocks noChangeAspect="1"/>
                    </pic:cNvPicPr>
                  </pic:nvPicPr>
                  <pic:blipFill>
                    <a:blip r:embed="rId8"/>
                    <a:srcRect l="9236" r="20074"/>
                    <a:stretch>
                      <a:fillRect/>
                    </a:stretch>
                  </pic:blipFill>
                  <pic:spPr>
                    <a:xfrm>
                      <a:off x="0" y="0"/>
                      <a:ext cx="364490" cy="342265"/>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2020年5月2</w:t>
      </w:r>
      <w:r>
        <w:rPr>
          <w:rFonts w:hint="eastAsia" w:ascii="宋体" w:hAnsi="宋体"/>
          <w:b/>
          <w:color w:val="000000"/>
          <w:szCs w:val="21"/>
          <w:lang w:val="en-US" w:eastAsia="zh-CN"/>
        </w:rPr>
        <w:t>4</w:t>
      </w:r>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r>
        <w:rPr>
          <w:rFonts w:hint="eastAsia"/>
          <w:szCs w:val="21"/>
        </w:rPr>
        <w:drawing>
          <wp:anchor distT="0" distB="0" distL="114300" distR="114300" simplePos="0" relativeHeight="251698176" behindDoc="0" locked="0" layoutInCell="1" allowOverlap="1">
            <wp:simplePos x="0" y="0"/>
            <wp:positionH relativeFrom="column">
              <wp:posOffset>4521200</wp:posOffset>
            </wp:positionH>
            <wp:positionV relativeFrom="paragraph">
              <wp:posOffset>140970</wp:posOffset>
            </wp:positionV>
            <wp:extent cx="915035" cy="316865"/>
            <wp:effectExtent l="0" t="0" r="18415" b="6985"/>
            <wp:wrapNone/>
            <wp:docPr id="6"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585443502(1)"/>
                    <pic:cNvPicPr>
                      <a:picLocks noChangeAspect="1"/>
                    </pic:cNvPicPr>
                  </pic:nvPicPr>
                  <pic:blipFill>
                    <a:blip r:embed="rId9"/>
                    <a:stretch>
                      <a:fillRect/>
                    </a:stretch>
                  </pic:blipFill>
                  <pic:spPr>
                    <a:xfrm>
                      <a:off x="0" y="0"/>
                      <a:ext cx="915035" cy="316865"/>
                    </a:xfrm>
                    <a:prstGeom prst="rect">
                      <a:avLst/>
                    </a:prstGeom>
                    <a:noFill/>
                    <a:ln>
                      <a:noFill/>
                    </a:ln>
                  </pic:spPr>
                </pic:pic>
              </a:graphicData>
            </a:graphic>
          </wp:anchor>
        </w:drawing>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7C675FD"/>
    <w:rsid w:val="07D70220"/>
    <w:rsid w:val="08796912"/>
    <w:rsid w:val="095D24A8"/>
    <w:rsid w:val="09B4415B"/>
    <w:rsid w:val="0B695358"/>
    <w:rsid w:val="0B6F736E"/>
    <w:rsid w:val="0C857290"/>
    <w:rsid w:val="0CA6239B"/>
    <w:rsid w:val="0DC83354"/>
    <w:rsid w:val="0F1B3FDD"/>
    <w:rsid w:val="11BE261C"/>
    <w:rsid w:val="11CB1D96"/>
    <w:rsid w:val="125311C6"/>
    <w:rsid w:val="12626407"/>
    <w:rsid w:val="14C86FDF"/>
    <w:rsid w:val="155E1C49"/>
    <w:rsid w:val="16B77B96"/>
    <w:rsid w:val="185B1437"/>
    <w:rsid w:val="18BD6A28"/>
    <w:rsid w:val="19074347"/>
    <w:rsid w:val="194A22A9"/>
    <w:rsid w:val="199B00AC"/>
    <w:rsid w:val="1A5B7456"/>
    <w:rsid w:val="1B85685E"/>
    <w:rsid w:val="1D2F67EA"/>
    <w:rsid w:val="1DED22A1"/>
    <w:rsid w:val="1E3F707F"/>
    <w:rsid w:val="1FD918CF"/>
    <w:rsid w:val="20FB6175"/>
    <w:rsid w:val="215572CF"/>
    <w:rsid w:val="233B2532"/>
    <w:rsid w:val="25240B3E"/>
    <w:rsid w:val="26955C91"/>
    <w:rsid w:val="273B5F41"/>
    <w:rsid w:val="2AE32135"/>
    <w:rsid w:val="2C071728"/>
    <w:rsid w:val="2D686819"/>
    <w:rsid w:val="2FBC3EEE"/>
    <w:rsid w:val="31813B38"/>
    <w:rsid w:val="31A829AC"/>
    <w:rsid w:val="31FF23D8"/>
    <w:rsid w:val="32FE5276"/>
    <w:rsid w:val="33F82DD1"/>
    <w:rsid w:val="346A146F"/>
    <w:rsid w:val="38FD61FF"/>
    <w:rsid w:val="3D3F665C"/>
    <w:rsid w:val="3D9B09FE"/>
    <w:rsid w:val="3E003CC5"/>
    <w:rsid w:val="41685436"/>
    <w:rsid w:val="426D4188"/>
    <w:rsid w:val="42777639"/>
    <w:rsid w:val="43212D6D"/>
    <w:rsid w:val="43F04AA8"/>
    <w:rsid w:val="44165E87"/>
    <w:rsid w:val="443A0222"/>
    <w:rsid w:val="45BE0AE8"/>
    <w:rsid w:val="49916B26"/>
    <w:rsid w:val="499C10CB"/>
    <w:rsid w:val="4A912373"/>
    <w:rsid w:val="4AB229F5"/>
    <w:rsid w:val="4CBF18E3"/>
    <w:rsid w:val="4E7F1263"/>
    <w:rsid w:val="522F4D5F"/>
    <w:rsid w:val="53877EEF"/>
    <w:rsid w:val="543E39B0"/>
    <w:rsid w:val="563B39DC"/>
    <w:rsid w:val="56BD08D3"/>
    <w:rsid w:val="5807522A"/>
    <w:rsid w:val="58352B0B"/>
    <w:rsid w:val="5A986980"/>
    <w:rsid w:val="5D2E53B2"/>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0</TotalTime>
  <ScaleCrop>false</ScaleCrop>
  <LinksUpToDate>false</LinksUpToDate>
  <CharactersWithSpaces>6573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2020-06-11T01:40:09Z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