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20367-2023-EO-2024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唐山市开平区景州钢丝制品有限公司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p w:rsidR="00A824E9">
            <w:pPr>
              <w:spacing w:line="360" w:lineRule="exact"/>
              <w:jc w:val="center"/>
              <w:rPr>
                <w:b/>
                <w:szCs w:val="21"/>
              </w:rPr>
            </w:pPr>
            <w:r>
              <w:rPr>
                <w:b/>
                <w:szCs w:val="21"/>
              </w:rPr>
              <w:t>2024-N1QMS-4205805</w:t>
            </w:r>
          </w:p>
        </w:tc>
        <w:tc>
          <w:tcPr>
            <w:tcW w:w="3145" w:type="dxa"/>
            <w:vAlign w:val="center"/>
          </w:tcPr>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p w:rsidR="00A824E9">
            <w:pPr>
              <w:spacing w:line="360" w:lineRule="exact"/>
              <w:jc w:val="center"/>
              <w:rPr>
                <w:b/>
                <w:szCs w:val="21"/>
              </w:rPr>
            </w:pPr>
            <w:r>
              <w:rPr>
                <w:b/>
                <w:szCs w:val="21"/>
              </w:rPr>
              <w:t>Q:17.12.03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上午至2024年07月10日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唐山开平区唐津高速西侧规划南十五道北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唐山开平区唐津高速西侧规划南十五道北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