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10652-2024-Q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青县博月机械制造有限公司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17.10.01,17.10.02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2024年07月02日 上午至2024年07月02日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河北省青县盘古镇北柳村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河北省青县盘古镇北柳村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