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北京碧涞饮水设备有限公司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10656-2024-QEO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北京市怀柔区桥梓镇八龙桥雅苑东侧100米（活动中心142室）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北京市丰台区连山岗29号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许景兰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18910963077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18910963077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2024-06-28上午至2024-06-28上午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Q:0.1,E:0.2,O:0.2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rPr>
              <w:t>□是  ■否</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Q：开水器、净水器、节能饮水机、净水机、电热水器、空气能热泵、太阳能热水器的销售及售后服务</w:t>
            </w:r>
          </w:p>
          <w:p>
            <w:pPr>
              <w:tabs>
                <w:tab w:val="left" w:pos="0"/>
              </w:tabs>
              <w:jc w:val="left"/>
              <w:rPr>
                <w:sz w:val="21"/>
                <w:szCs w:val="21"/>
              </w:rPr>
            </w:pPr>
            <w:r>
              <w:rPr>
                <w:sz w:val="21"/>
                <w:szCs w:val="21"/>
              </w:rPr>
              <w:t>E：开水器、净水器、节能饮水机、净水机、电热水器、空气能热泵、太阳能热水器的销售及售后服务所涉及场所的相关环境管理活动</w:t>
            </w:r>
          </w:p>
          <w:p>
            <w:pPr>
              <w:tabs>
                <w:tab w:val="left" w:pos="0"/>
              </w:tabs>
              <w:jc w:val="left"/>
              <w:rPr>
                <w:sz w:val="21"/>
                <w:szCs w:val="21"/>
              </w:rPr>
            </w:pPr>
            <w:r>
              <w:rPr>
                <w:sz w:val="21"/>
                <w:szCs w:val="21"/>
              </w:rPr>
              <w:t>O：开水器、净水器、节能饮水机、净水机、电热水器、空气能热泵、太阳能热水器的销售及售后服务所涉及场所的相关职业健康安全管理活动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Q：29.08.03;29.10.07;29.12.00</w:t>
            </w:r>
          </w:p>
          <w:p>
            <w:pPr>
              <w:tabs>
                <w:tab w:val="left" w:pos="0"/>
              </w:tabs>
              <w:rPr>
                <w:sz w:val="21"/>
                <w:szCs w:val="21"/>
              </w:rPr>
            </w:pPr>
            <w:r>
              <w:rPr>
                <w:sz w:val="21"/>
                <w:szCs w:val="21"/>
              </w:rPr>
              <w:t>E：29.08.03;29.10.07;29.12.00</w:t>
            </w:r>
          </w:p>
          <w:p>
            <w:pPr>
              <w:tabs>
                <w:tab w:val="left" w:pos="0"/>
              </w:tabs>
              <w:rPr>
                <w:sz w:val="21"/>
                <w:szCs w:val="21"/>
              </w:rPr>
            </w:pPr>
            <w:r>
              <w:rPr>
                <w:sz w:val="21"/>
                <w:szCs w:val="21"/>
              </w:rPr>
              <w:t>O：29.08.03;29.10.07;29.12.00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826" w:type="dxa"/>
            <w:gridSpan w:val="9"/>
            <w:vAlign w:val="center"/>
          </w:tcPr>
          <w:p>
            <w:pPr>
              <w:jc w:val="center"/>
              <w:rPr>
                <w:sz w:val="21"/>
                <w:szCs w:val="21"/>
              </w:rPr>
            </w:pPr>
            <w:r>
              <w:rPr>
                <w:sz w:val="21"/>
                <w:szCs w:val="21"/>
              </w:rPr>
              <w:t>Q:29.08.03,29.10.07,29.12.00</w:t>
            </w:r>
          </w:p>
          <w:p>
            <w:pPr>
              <w:jc w:val="center"/>
              <w:rPr>
                <w:sz w:val="21"/>
                <w:szCs w:val="21"/>
              </w:rPr>
            </w:pPr>
            <w:r>
              <w:rPr>
                <w:sz w:val="21"/>
                <w:szCs w:val="21"/>
              </w:rPr>
              <w:t>E:29.08.03,29.10.07,29.12.00</w:t>
            </w:r>
          </w:p>
          <w:p>
            <w:pPr>
              <w:jc w:val="center"/>
              <w:rPr>
                <w:sz w:val="21"/>
                <w:szCs w:val="21"/>
              </w:rPr>
            </w:pPr>
            <w:r>
              <w:rPr>
                <w:sz w:val="21"/>
                <w:szCs w:val="21"/>
              </w:rPr>
              <w:t>O:29.08.03,29.10.07,29.12.00</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2024-06-24</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EAD2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1738</Characters>
  <Lines>11</Lines>
  <Paragraphs>3</Paragraphs>
  <TotalTime>0</TotalTime>
  <ScaleCrop>false</ScaleCrop>
  <LinksUpToDate>false</LinksUpToDate>
  <CharactersWithSpaces>1786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2024-06-24T09:06:19Z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