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山东番茄玩具有限公司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20467-2024-EI</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山东省菏泽市鲁西新区丹阳街道人民路与丹阳路交汇处西北角金都华庭101商户3楼307室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山东省菏泽市双河路4号3楼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马凯</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16752989999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16752989999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2024年06月26日 下午至2024年06月27日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1.5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hint="default" w:ascii="宋体" w:eastAsia="宋体"/>
                <w:sz w:val="21"/>
                <w:szCs w:val="21"/>
                <w:lang w:val="en-US" w:eastAsia="zh-CN"/>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w:t>
            </w:r>
            <w:r>
              <w:rPr>
                <w:rFonts w:hint="eastAsia"/>
                <w:sz w:val="21"/>
                <w:szCs w:val="21"/>
              </w:rPr>
              <w:t>■</w:t>
            </w:r>
            <w:r>
              <w:rPr>
                <w:rFonts w:hint="eastAsia" w:ascii="宋体" w:hAnsi="宋体"/>
                <w:bCs/>
                <w:szCs w:val="21"/>
              </w:rPr>
              <w:t>其它：</w:t>
            </w:r>
            <w:r>
              <w:rPr>
                <w:rFonts w:hint="eastAsia" w:ascii="宋体" w:hAnsi="宋体"/>
                <w:bCs/>
                <w:szCs w:val="21"/>
                <w:lang w:val="en-US" w:eastAsia="zh-CN"/>
              </w:rPr>
              <w:t>EI</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GB/T 31950-2023 《企业诚信管理体系 要求》</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玩具、乐器、户外用品、服装服饰、出版物、教学专用仪器、玻璃仪器、实验分析仪器、教学用模型及教具、办公设备及办公用品、体育用品及器材、家具、厨具卫具及日用杂品、家用电器、计算机软硬件及辅助设备、音响设备、办公用电子设备、数字视频监控系统、针纺织品、普通露天游乐场所游乐设备（不含大型游乐设施）的销售所涉及的诚信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ISC-73544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2024-06-20</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F8E6E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1298</Words>
  <Characters>1433</Characters>
  <Lines>11</Lines>
  <Paragraphs>3</Paragraphs>
  <TotalTime>1</TotalTime>
  <ScaleCrop>false</ScaleCrop>
  <LinksUpToDate>false</LinksUpToDate>
  <CharactersWithSpaces>1477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2024-06-20T07:52:40Z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