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20424-2024-F</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廊坊京盛食品有限公司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r>
              <w:t>邝柏臣</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黄童彤</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审核员</w:t>
            </w:r>
          </w:p>
        </w:tc>
        <w:tc>
          <w:tcPr>
            <w:tcW w:w="2268" w:type="dxa"/>
            <w:vAlign w:val="center"/>
          </w:tcPr>
          <w:p w:rsidR="00B92A60">
            <w:pPr>
              <w:spacing w:line="360" w:lineRule="auto"/>
              <w:jc w:val="center"/>
              <w:rPr>
                <w:b/>
                <w:szCs w:val="21"/>
              </w:rPr>
            </w:pPr>
            <w:r>
              <w:rPr>
                <w:b/>
                <w:szCs w:val="21"/>
              </w:rPr>
              <w:t>2024-N1FSMS-1301841</w:t>
            </w:r>
          </w:p>
        </w:tc>
        <w:tc>
          <w:tcPr>
            <w:tcW w:w="3145" w:type="dxa"/>
            <w:vAlign w:val="center"/>
          </w:tcPr>
          <w:p w:rsidR="00B92A60">
            <w:pPr>
              <w:spacing w:line="360" w:lineRule="auto"/>
              <w:jc w:val="center"/>
              <w:rPr>
                <w:b/>
                <w:szCs w:val="21"/>
              </w:rPr>
            </w:pPr>
            <w:r>
              <w:rPr>
                <w:b/>
                <w:szCs w:val="21"/>
              </w:rPr>
              <w:t>CIV-13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邝柏臣</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审核员</w:t>
            </w:r>
          </w:p>
        </w:tc>
        <w:tc>
          <w:tcPr>
            <w:tcW w:w="2268" w:type="dxa"/>
            <w:vAlign w:val="center"/>
          </w:tcPr>
          <w:p w:rsidR="00B92A60">
            <w:pPr>
              <w:spacing w:line="360" w:lineRule="auto"/>
              <w:jc w:val="center"/>
              <w:rPr>
                <w:b/>
                <w:szCs w:val="21"/>
              </w:rPr>
            </w:pPr>
            <w:r>
              <w:rPr>
                <w:b/>
                <w:szCs w:val="21"/>
              </w:rPr>
              <w:t>2023-N1FSMS-2222839</w:t>
            </w:r>
          </w:p>
        </w:tc>
        <w:tc>
          <w:tcPr>
            <w:tcW w:w="3145" w:type="dxa"/>
            <w:vAlign w:val="center"/>
          </w:tcPr>
          <w:p w:rsidR="00B92A60">
            <w:pPr>
              <w:spacing w:line="360" w:lineRule="auto"/>
              <w:jc w:val="center"/>
              <w:rPr>
                <w:b/>
                <w:szCs w:val="21"/>
              </w:rPr>
            </w:pPr>
            <w:r>
              <w:rPr>
                <w:b/>
                <w:szCs w:val="21"/>
              </w:rPr>
              <w:t>CIV-13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食品安全管理体系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ISO 22000:2018</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2024年06月25日 上午至2024年06月26日 上午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河北省廊坊市霸州市112国道张庄村</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河北省廊坊市霸州市112国道张庄村</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