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海南赛诺实业有限公司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双向拉伸BOPP薄膜、涂布薄膜、BOPP激光全息防伪膜包装材料、保润保湿包装材料、微纳结构色包装材料、全降解薄膜的设计与制造 烟用接装纸、烟用封签纸和烟用内衬纸的销售所涉及的能源管理活动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