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48"/>
        </w:rPr>
      </w:pPr>
    </w:p>
    <w:p>
      <w:pPr>
        <w:spacing w:line="360" w:lineRule="auto"/>
        <w:jc w:val="center"/>
        <w:rPr>
          <w:rFonts w:ascii="微软雅黑" w:hAnsi="微软雅黑" w:eastAsia="微软雅黑" w:cs="微软雅黑"/>
          <w:b/>
          <w:bCs/>
          <w:sz w:val="52"/>
          <w:szCs w:val="52"/>
        </w:rPr>
      </w:pPr>
      <w:bookmarkStart w:id="0" w:name="_Hlk39999494"/>
      <w:r>
        <w:rPr>
          <w:rFonts w:hint="eastAsia" w:ascii="微软雅黑" w:hAnsi="微软雅黑" w:eastAsia="微软雅黑" w:cs="微软雅黑"/>
          <w:b/>
          <w:sz w:val="52"/>
          <w:szCs w:val="52"/>
        </w:rPr>
        <w:t>海珀（滁州）材料科技有限公司</w:t>
      </w:r>
    </w:p>
    <w:bookmarkEnd w:id="0"/>
    <w:p>
      <w:pPr>
        <w:spacing w:line="360" w:lineRule="auto"/>
        <w:jc w:val="center"/>
        <w:rPr>
          <w:rFonts w:ascii="微软雅黑" w:hAnsi="微软雅黑" w:eastAsia="微软雅黑" w:cs="微软雅黑"/>
          <w:b/>
          <w:bCs/>
          <w:sz w:val="72"/>
          <w:szCs w:val="72"/>
        </w:rPr>
      </w:pPr>
    </w:p>
    <w:p>
      <w:pPr>
        <w:spacing w:line="36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质  量  手  册</w:t>
      </w:r>
    </w:p>
    <w:p>
      <w:pPr>
        <w:spacing w:line="360" w:lineRule="auto"/>
        <w:jc w:val="center"/>
        <w:rPr>
          <w:rFonts w:ascii="微软雅黑" w:hAnsi="微软雅黑" w:eastAsia="微软雅黑" w:cs="微软雅黑"/>
          <w:b/>
          <w:bCs/>
          <w:sz w:val="52"/>
          <w:szCs w:val="52"/>
        </w:rPr>
      </w:pPr>
      <w:r>
        <w:rPr>
          <w:rFonts w:hint="eastAsia" w:ascii="微软雅黑" w:hAnsi="微软雅黑" w:eastAsia="微软雅黑" w:cs="微软雅黑"/>
          <w:b/>
          <w:bCs/>
          <w:sz w:val="32"/>
          <w:szCs w:val="32"/>
        </w:rPr>
        <w:t>（依据GB/T19001-2016/ISO9001:2015）</w:t>
      </w:r>
    </w:p>
    <w:p>
      <w:pPr>
        <w:spacing w:line="360" w:lineRule="auto"/>
        <w:ind w:firstLine="3202" w:firstLineChars="1000"/>
        <w:rPr>
          <w:rFonts w:ascii="微软雅黑" w:hAnsi="微软雅黑" w:eastAsia="微软雅黑" w:cs="微软雅黑"/>
          <w:b/>
          <w:bCs/>
          <w:sz w:val="32"/>
          <w:szCs w:val="32"/>
        </w:rPr>
      </w:pPr>
    </w:p>
    <w:p>
      <w:pPr>
        <w:spacing w:line="360" w:lineRule="auto"/>
        <w:ind w:firstLine="3202" w:firstLineChars="1000"/>
        <w:rPr>
          <w:rFonts w:ascii="微软雅黑" w:hAnsi="微软雅黑" w:eastAsia="微软雅黑" w:cs="微软雅黑"/>
          <w:b/>
          <w:bCs/>
          <w:sz w:val="32"/>
          <w:szCs w:val="32"/>
        </w:rPr>
      </w:pPr>
      <w:r>
        <w:rPr>
          <w:rFonts w:hint="eastAsia" w:ascii="微软雅黑" w:hAnsi="微软雅黑" w:eastAsia="微软雅黑" w:cs="微软雅黑"/>
          <w:b/>
          <w:bCs/>
          <w:sz w:val="32"/>
          <w:szCs w:val="32"/>
        </w:rPr>
        <w:t>文件编号：HB-QM-20</w:t>
      </w:r>
      <w:r>
        <w:rPr>
          <w:rFonts w:ascii="微软雅黑" w:hAnsi="微软雅黑" w:eastAsia="微软雅黑" w:cs="微软雅黑"/>
          <w:b/>
          <w:bCs/>
          <w:sz w:val="32"/>
          <w:szCs w:val="32"/>
        </w:rPr>
        <w:t>20</w:t>
      </w:r>
    </w:p>
    <w:p>
      <w:pPr>
        <w:spacing w:line="360" w:lineRule="auto"/>
        <w:ind w:firstLine="3202" w:firstLineChars="1000"/>
        <w:rPr>
          <w:rFonts w:ascii="微软雅黑" w:hAnsi="微软雅黑" w:eastAsia="微软雅黑" w:cs="微软雅黑"/>
          <w:b/>
          <w:bCs/>
          <w:sz w:val="32"/>
          <w:szCs w:val="32"/>
        </w:rPr>
      </w:pPr>
      <w:r>
        <w:rPr>
          <w:rFonts w:hint="eastAsia" w:ascii="微软雅黑" w:hAnsi="微软雅黑" w:eastAsia="微软雅黑" w:cs="微软雅黑"/>
          <w:b/>
          <w:bCs/>
          <w:sz w:val="32"/>
          <w:szCs w:val="32"/>
        </w:rPr>
        <w:t>版本号  ：A/0</w:t>
      </w:r>
    </w:p>
    <w:p>
      <w:pPr>
        <w:spacing w:line="360" w:lineRule="auto"/>
        <w:ind w:firstLine="3202" w:firstLineChars="1000"/>
        <w:rPr>
          <w:rFonts w:ascii="微软雅黑" w:hAnsi="微软雅黑" w:eastAsia="微软雅黑" w:cs="微软雅黑"/>
          <w:b/>
          <w:bCs/>
          <w:sz w:val="32"/>
          <w:szCs w:val="32"/>
        </w:rPr>
      </w:pPr>
      <w:r>
        <w:rPr>
          <w:rFonts w:hint="eastAsia" w:ascii="微软雅黑" w:hAnsi="微软雅黑" w:eastAsia="微软雅黑" w:cs="微软雅黑"/>
          <w:b/>
          <w:bCs/>
          <w:sz w:val="32"/>
          <w:szCs w:val="32"/>
        </w:rPr>
        <w:drawing>
          <wp:anchor distT="0" distB="0" distL="114300" distR="114300" simplePos="0" relativeHeight="251657216" behindDoc="0" locked="0" layoutInCell="1" allowOverlap="1">
            <wp:simplePos x="0" y="0"/>
            <wp:positionH relativeFrom="page">
              <wp:posOffset>4462780</wp:posOffset>
            </wp:positionH>
            <wp:positionV relativeFrom="margin">
              <wp:posOffset>5509895</wp:posOffset>
            </wp:positionV>
            <wp:extent cx="861060" cy="287020"/>
            <wp:effectExtent l="0" t="0" r="0" b="0"/>
            <wp:wrapNone/>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1060" cy="287020"/>
                    </a:xfrm>
                    <a:prstGeom prst="rect">
                      <a:avLst/>
                    </a:prstGeom>
                    <a:noFill/>
                    <a:ln>
                      <a:noFill/>
                    </a:ln>
                  </pic:spPr>
                </pic:pic>
              </a:graphicData>
            </a:graphic>
          </wp:anchor>
        </w:drawing>
      </w:r>
      <w:r>
        <w:rPr>
          <w:rFonts w:hint="eastAsia" w:ascii="微软雅黑" w:hAnsi="微软雅黑" w:eastAsia="微软雅黑" w:cs="微软雅黑"/>
          <w:b/>
          <w:bCs/>
          <w:sz w:val="32"/>
          <w:szCs w:val="32"/>
        </w:rPr>
        <w:t>受控状态：</w:t>
      </w:r>
    </w:p>
    <w:p>
      <w:pPr>
        <w:spacing w:line="360" w:lineRule="auto"/>
        <w:rPr>
          <w:rFonts w:ascii="微软雅黑" w:hAnsi="微软雅黑" w:eastAsia="微软雅黑" w:cs="微软雅黑"/>
          <w:b/>
          <w:bCs/>
          <w:sz w:val="32"/>
          <w:szCs w:val="32"/>
        </w:rPr>
      </w:pPr>
    </w:p>
    <w:p>
      <w:pPr>
        <w:spacing w:line="360" w:lineRule="auto"/>
        <w:rPr>
          <w:rFonts w:ascii="微软雅黑" w:hAnsi="微软雅黑" w:eastAsia="微软雅黑" w:cs="微软雅黑"/>
          <w:b/>
          <w:bCs/>
          <w:sz w:val="32"/>
          <w:szCs w:val="32"/>
        </w:rPr>
      </w:pPr>
    </w:p>
    <w:p>
      <w:pPr>
        <w:spacing w:line="360" w:lineRule="auto"/>
        <w:ind w:firstLine="640" w:firstLineChars="200"/>
        <w:rPr>
          <w:rFonts w:ascii="宋体" w:hAnsi="宋体" w:eastAsia="微软雅黑" w:cs="宋体"/>
          <w:b/>
          <w:bCs/>
          <w:sz w:val="32"/>
          <w:szCs w:val="32"/>
          <w:u w:val="single"/>
        </w:rPr>
      </w:pPr>
      <w:r>
        <w:rPr>
          <w:rFonts w:hint="eastAsia" w:ascii="微软雅黑" w:hAnsi="微软雅黑" w:eastAsia="微软雅黑" w:cs="微软雅黑"/>
          <w:b/>
          <w:bCs/>
          <w:sz w:val="32"/>
          <w:szCs w:val="32"/>
          <w:u w:val="single"/>
        </w:rPr>
        <w:t xml:space="preserve">编制：办公室    </w:t>
      </w:r>
      <w:r>
        <w:rPr>
          <w:rFonts w:ascii="微软雅黑" w:hAnsi="微软雅黑" w:eastAsia="微软雅黑" w:cs="微软雅黑"/>
          <w:b/>
          <w:bCs/>
          <w:sz w:val="32"/>
          <w:szCs w:val="32"/>
          <w:u w:val="single"/>
        </w:rPr>
        <w:t xml:space="preserve"> </w:t>
      </w:r>
      <w:r>
        <w:rPr>
          <w:rFonts w:hint="eastAsia" w:ascii="微软雅黑" w:hAnsi="微软雅黑" w:eastAsia="微软雅黑" w:cs="微软雅黑"/>
          <w:b/>
          <w:bCs/>
          <w:sz w:val="32"/>
          <w:szCs w:val="32"/>
          <w:u w:val="single"/>
        </w:rPr>
        <w:t xml:space="preserve">   审批：王仁义 </w:t>
      </w:r>
      <w:r>
        <w:rPr>
          <w:rFonts w:ascii="微软雅黑" w:hAnsi="微软雅黑" w:eastAsia="微软雅黑" w:cs="微软雅黑"/>
          <w:b/>
          <w:bCs/>
          <w:sz w:val="32"/>
          <w:szCs w:val="32"/>
          <w:u w:val="single"/>
        </w:rPr>
        <w:t xml:space="preserve">  </w:t>
      </w:r>
      <w:r>
        <w:rPr>
          <w:rFonts w:ascii="宋体" w:hAnsi="宋体" w:eastAsia="微软雅黑" w:cs="宋体"/>
          <w:b/>
          <w:bCs/>
          <w:sz w:val="32"/>
          <w:szCs w:val="32"/>
          <w:u w:val="single"/>
        </w:rPr>
        <w:t xml:space="preserve"> </w:t>
      </w:r>
    </w:p>
    <w:p>
      <w:pPr>
        <w:spacing w:line="360" w:lineRule="auto"/>
        <w:rPr>
          <w:rFonts w:ascii="宋体" w:hAnsi="宋体" w:cs="宋体"/>
          <w:b/>
          <w:bCs/>
          <w:sz w:val="32"/>
          <w:szCs w:val="32"/>
          <w:highlight w:val="yellow"/>
        </w:rPr>
      </w:pPr>
    </w:p>
    <w:p>
      <w:pPr>
        <w:spacing w:line="360" w:lineRule="auto"/>
        <w:ind w:firstLine="560" w:firstLineChars="200"/>
        <w:rPr>
          <w:rFonts w:ascii="微软雅黑" w:hAnsi="微软雅黑" w:eastAsia="微软雅黑" w:cs="微软雅黑"/>
          <w:b/>
          <w:bCs/>
          <w:sz w:val="32"/>
          <w:szCs w:val="32"/>
        </w:rPr>
      </w:pPr>
      <w:r>
        <w:rPr>
          <w:rFonts w:hint="eastAsia" w:ascii="微软雅黑" w:hAnsi="微软雅黑" w:eastAsia="微软雅黑" w:cs="微软雅黑"/>
          <w:b/>
          <w:bCs/>
          <w:sz w:val="28"/>
          <w:szCs w:val="28"/>
        </w:rPr>
        <w:t>发布：20</w:t>
      </w:r>
      <w:r>
        <w:rPr>
          <w:rFonts w:ascii="微软雅黑" w:hAnsi="微软雅黑" w:eastAsia="微软雅黑" w:cs="微软雅黑"/>
          <w:b/>
          <w:bCs/>
          <w:sz w:val="28"/>
          <w:szCs w:val="28"/>
        </w:rPr>
        <w:t>20</w:t>
      </w:r>
      <w:r>
        <w:rPr>
          <w:rFonts w:hint="eastAsia" w:ascii="微软雅黑" w:hAnsi="微软雅黑" w:eastAsia="微软雅黑" w:cs="微软雅黑"/>
          <w:b/>
          <w:bCs/>
          <w:sz w:val="28"/>
          <w:szCs w:val="28"/>
        </w:rPr>
        <w:t>年</w:t>
      </w:r>
      <w:r>
        <w:rPr>
          <w:rFonts w:ascii="微软雅黑" w:hAnsi="微软雅黑" w:eastAsia="微软雅黑" w:cs="微软雅黑"/>
          <w:b/>
          <w:bCs/>
          <w:sz w:val="28"/>
          <w:szCs w:val="28"/>
        </w:rPr>
        <w:t>1</w:t>
      </w:r>
      <w:r>
        <w:rPr>
          <w:rFonts w:hint="eastAsia" w:ascii="微软雅黑" w:hAnsi="微软雅黑" w:eastAsia="微软雅黑" w:cs="微软雅黑"/>
          <w:b/>
          <w:bCs/>
          <w:sz w:val="28"/>
          <w:szCs w:val="28"/>
        </w:rPr>
        <w:t>月</w:t>
      </w:r>
      <w:r>
        <w:rPr>
          <w:rFonts w:ascii="微软雅黑" w:hAnsi="微软雅黑" w:eastAsia="微软雅黑" w:cs="微软雅黑"/>
          <w:b/>
          <w:bCs/>
          <w:sz w:val="28"/>
          <w:szCs w:val="28"/>
        </w:rPr>
        <w:t>2</w:t>
      </w:r>
      <w:r>
        <w:rPr>
          <w:rFonts w:hint="eastAsia" w:ascii="微软雅黑" w:hAnsi="微软雅黑" w:eastAsia="微软雅黑" w:cs="微软雅黑"/>
          <w:b/>
          <w:bCs/>
          <w:sz w:val="28"/>
          <w:szCs w:val="28"/>
        </w:rPr>
        <w:t>日       实施：</w:t>
      </w:r>
      <w:r>
        <w:rPr>
          <w:rFonts w:hint="eastAsia" w:ascii="微软雅黑" w:hAnsi="微软雅黑" w:eastAsia="微软雅黑" w:cs="微软雅黑"/>
          <w:b/>
          <w:sz w:val="28"/>
          <w:szCs w:val="28"/>
        </w:rPr>
        <w:t>20</w:t>
      </w:r>
      <w:r>
        <w:rPr>
          <w:rFonts w:ascii="微软雅黑" w:hAnsi="微软雅黑" w:eastAsia="微软雅黑" w:cs="微软雅黑"/>
          <w:b/>
          <w:sz w:val="28"/>
          <w:szCs w:val="28"/>
        </w:rPr>
        <w:t>20</w:t>
      </w:r>
      <w:r>
        <w:rPr>
          <w:rFonts w:hint="eastAsia" w:ascii="微软雅黑" w:hAnsi="微软雅黑" w:eastAsia="微软雅黑" w:cs="微软雅黑"/>
          <w:b/>
          <w:sz w:val="28"/>
          <w:szCs w:val="28"/>
        </w:rPr>
        <w:t>年</w:t>
      </w:r>
      <w:r>
        <w:rPr>
          <w:rFonts w:ascii="微软雅黑" w:hAnsi="微软雅黑" w:eastAsia="微软雅黑" w:cs="微软雅黑"/>
          <w:b/>
          <w:sz w:val="28"/>
          <w:szCs w:val="28"/>
        </w:rPr>
        <w:t>1</w:t>
      </w:r>
      <w:r>
        <w:rPr>
          <w:rFonts w:hint="eastAsia" w:ascii="微软雅黑" w:hAnsi="微软雅黑" w:eastAsia="微软雅黑" w:cs="微软雅黑"/>
          <w:b/>
          <w:sz w:val="28"/>
          <w:szCs w:val="28"/>
        </w:rPr>
        <w:t>月</w:t>
      </w:r>
      <w:r>
        <w:rPr>
          <w:rFonts w:ascii="微软雅黑" w:hAnsi="微软雅黑" w:eastAsia="微软雅黑" w:cs="微软雅黑"/>
          <w:b/>
          <w:sz w:val="28"/>
          <w:szCs w:val="28"/>
        </w:rPr>
        <w:t>2</w:t>
      </w:r>
      <w:r>
        <w:rPr>
          <w:rFonts w:hint="eastAsia" w:ascii="微软雅黑" w:hAnsi="微软雅黑" w:eastAsia="微软雅黑" w:cs="微软雅黑"/>
          <w:b/>
          <w:sz w:val="28"/>
          <w:szCs w:val="28"/>
        </w:rPr>
        <w:t xml:space="preserve">日  </w:t>
      </w:r>
    </w:p>
    <w:p>
      <w:pPr>
        <w:spacing w:line="360" w:lineRule="auto"/>
        <w:jc w:val="both"/>
        <w:rPr>
          <w:rFonts w:ascii="楷体" w:hAnsi="楷体" w:eastAsia="楷体"/>
          <w:b/>
          <w:sz w:val="36"/>
        </w:rPr>
      </w:pPr>
    </w:p>
    <w:p>
      <w:pPr>
        <w:spacing w:line="360" w:lineRule="auto"/>
        <w:jc w:val="center"/>
        <w:rPr>
          <w:rFonts w:ascii="楷体" w:hAnsi="楷体" w:eastAsia="楷体"/>
          <w:b/>
          <w:sz w:val="36"/>
        </w:rPr>
      </w:pPr>
      <w:r>
        <w:rPr>
          <w:rFonts w:ascii="楷体" w:hAnsi="楷体" w:eastAsia="楷体"/>
          <w:b/>
          <w:sz w:val="36"/>
        </w:rPr>
        <w:t>变 更 履 历</w:t>
      </w:r>
    </w:p>
    <w:p>
      <w:pPr>
        <w:spacing w:line="360" w:lineRule="auto"/>
        <w:jc w:val="center"/>
        <w:rPr>
          <w:rFonts w:ascii="楷体" w:hAnsi="楷体" w:eastAsia="楷体"/>
          <w:b/>
          <w:sz w:val="36"/>
        </w:rPr>
      </w:pPr>
    </w:p>
    <w:tbl>
      <w:tblPr>
        <w:tblStyle w:val="17"/>
        <w:tblpPr w:leftFromText="180" w:rightFromText="180" w:vertAnchor="text" w:horzAnchor="margin" w:tblpXSpec="center" w:tblpY="359"/>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6"/>
        <w:gridCol w:w="1324"/>
        <w:gridCol w:w="1263"/>
        <w:gridCol w:w="1206"/>
        <w:gridCol w:w="121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修改页码</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lang w:eastAsia="zh-CN"/>
              </w:rPr>
            </w:pPr>
            <w:r>
              <w:rPr>
                <w:rFonts w:hint="eastAsia"/>
              </w:rPr>
              <w:t>修改</w:t>
            </w:r>
            <w:r>
              <w:rPr>
                <w:rFonts w:hint="eastAsia"/>
                <w:lang w:val="en-US" w:eastAsia="zh-CN"/>
              </w:rPr>
              <w:t>内容</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修改状态</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修改日期</w:t>
            </w: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修改人</w:t>
            </w: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lang w:val="en-US" w:eastAsia="zh-CN"/>
              </w:rPr>
            </w:pPr>
            <w:r>
              <w:rPr>
                <w:rFonts w:hint="eastAsia"/>
                <w:lang w:val="en-US" w:eastAsia="zh-CN"/>
              </w:rPr>
              <w:t>1</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P11/16/18/25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eastAsia="宋体"/>
                <w:sz w:val="21"/>
                <w:lang w:val="en-US" w:eastAsia="zh-CN"/>
              </w:rPr>
              <w:t>范围不统一</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实施中</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2020/6/13</w:t>
            </w: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bookmarkStart w:id="1" w:name="联系人"/>
            <w:r>
              <w:t>陈尚英</w:t>
            </w:r>
            <w:bookmarkEnd w:id="1"/>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王仁义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lang w:val="en-US" w:eastAsia="zh-CN"/>
              </w:rPr>
            </w:pPr>
            <w:bookmarkStart w:id="7" w:name="_GoBack" w:colFirst="5" w:colLast="6"/>
            <w:r>
              <w:rPr>
                <w:rFonts w:hint="eastAsia"/>
                <w:lang w:val="en-US" w:eastAsia="zh-CN"/>
              </w:rPr>
              <w:t>2</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P35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eastAsia="宋体"/>
                <w:sz w:val="21"/>
                <w:lang w:val="en-US" w:eastAsia="zh-CN"/>
              </w:rPr>
              <w:t>流程与企业经营无关</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实施中</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2020/6/13</w:t>
            </w: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陈尚英</w:t>
            </w: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王仁义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lang w:val="en-US" w:eastAsia="zh-CN"/>
              </w:rPr>
            </w:pPr>
            <w:r>
              <w:rPr>
                <w:rFonts w:hint="eastAsia"/>
                <w:lang w:val="en-US" w:eastAsia="zh-CN"/>
              </w:rPr>
              <w:t>3</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P12/22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ascii="宋体" w:hAnsi="宋体"/>
                <w:sz w:val="21"/>
                <w:lang w:val="en-US" w:eastAsia="zh-CN"/>
              </w:rPr>
              <w:t>未识别外包过程</w:t>
            </w: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实施中</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2020/6/13</w:t>
            </w: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陈尚英</w:t>
            </w: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王仁义</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tcPr>
          <w:p>
            <w:pPr>
              <w:jc w:val="center"/>
            </w:pPr>
          </w:p>
        </w:tc>
        <w:tc>
          <w:tcPr>
            <w:tcW w:w="1201" w:type="dxa"/>
            <w:tcBorders>
              <w:top w:val="single" w:color="auto" w:sz="4" w:space="0"/>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bl>
    <w:p>
      <w:pPr>
        <w:spacing w:line="360" w:lineRule="auto"/>
        <w:rPr>
          <w:rFonts w:eastAsia="黑体"/>
          <w:b/>
          <w:bCs/>
          <w:sz w:val="32"/>
        </w:rPr>
      </w:pPr>
    </w:p>
    <w:p>
      <w:pPr>
        <w:spacing w:line="360" w:lineRule="auto"/>
        <w:jc w:val="center"/>
        <w:outlineLvl w:val="0"/>
        <w:rPr>
          <w:b/>
          <w:sz w:val="44"/>
          <w:szCs w:val="44"/>
        </w:rPr>
      </w:pPr>
    </w:p>
    <w:p>
      <w:pPr>
        <w:spacing w:line="360" w:lineRule="auto"/>
        <w:jc w:val="center"/>
        <w:outlineLvl w:val="0"/>
        <w:rPr>
          <w:b/>
          <w:sz w:val="44"/>
          <w:szCs w:val="44"/>
        </w:rPr>
      </w:pPr>
    </w:p>
    <w:p>
      <w:pPr>
        <w:spacing w:line="360" w:lineRule="auto"/>
        <w:jc w:val="center"/>
        <w:outlineLvl w:val="0"/>
        <w:rPr>
          <w:b/>
          <w:sz w:val="44"/>
          <w:szCs w:val="44"/>
        </w:rPr>
      </w:pPr>
      <w:r>
        <w:rPr>
          <w:b/>
          <w:sz w:val="44"/>
          <w:szCs w:val="44"/>
        </w:rPr>
        <w:t xml:space="preserve">目  录   </w:t>
      </w:r>
    </w:p>
    <w:tbl>
      <w:tblPr>
        <w:tblStyle w:val="17"/>
        <w:tblW w:w="9108" w:type="dxa"/>
        <w:jc w:val="center"/>
        <w:tblLayout w:type="fixed"/>
        <w:tblCellMar>
          <w:top w:w="0" w:type="dxa"/>
          <w:left w:w="108" w:type="dxa"/>
          <w:bottom w:w="0" w:type="dxa"/>
          <w:right w:w="108" w:type="dxa"/>
        </w:tblCellMar>
      </w:tblPr>
      <w:tblGrid>
        <w:gridCol w:w="1434"/>
        <w:gridCol w:w="7674"/>
      </w:tblGrid>
      <w:tr>
        <w:tblPrEx>
          <w:tblCellMar>
            <w:top w:w="0" w:type="dxa"/>
            <w:left w:w="108" w:type="dxa"/>
            <w:bottom w:w="0" w:type="dxa"/>
            <w:right w:w="108" w:type="dxa"/>
          </w:tblCellMar>
        </w:tblPrEx>
        <w:trPr>
          <w:jc w:val="center"/>
        </w:trPr>
        <w:tc>
          <w:tcPr>
            <w:tcW w:w="1434" w:type="dxa"/>
          </w:tcPr>
          <w:p>
            <w:pPr>
              <w:tabs>
                <w:tab w:val="left" w:pos="8100"/>
              </w:tabs>
              <w:spacing w:line="360" w:lineRule="auto"/>
              <w:jc w:val="both"/>
            </w:pPr>
            <w:r>
              <w:rPr>
                <w:b/>
                <w:sz w:val="28"/>
              </w:rPr>
              <w:t>章节号</w:t>
            </w:r>
          </w:p>
        </w:tc>
        <w:tc>
          <w:tcPr>
            <w:tcW w:w="7674" w:type="dxa"/>
            <w:vAlign w:val="center"/>
          </w:tcPr>
          <w:p>
            <w:pPr>
              <w:tabs>
                <w:tab w:val="left" w:pos="8100"/>
              </w:tabs>
              <w:spacing w:line="360" w:lineRule="auto"/>
              <w:jc w:val="both"/>
            </w:pPr>
            <w:r>
              <w:rPr>
                <w:b/>
                <w:sz w:val="28"/>
              </w:rPr>
              <w:t>内容</w:t>
            </w:r>
          </w:p>
        </w:tc>
      </w:tr>
      <w:tr>
        <w:tblPrEx>
          <w:tblCellMar>
            <w:top w:w="0" w:type="dxa"/>
            <w:left w:w="108" w:type="dxa"/>
            <w:bottom w:w="0" w:type="dxa"/>
            <w:right w:w="108" w:type="dxa"/>
          </w:tblCellMar>
        </w:tblPrEx>
        <w:trPr>
          <w:jc w:val="center"/>
        </w:trPr>
        <w:tc>
          <w:tcPr>
            <w:tcW w:w="1434" w:type="dxa"/>
          </w:tcPr>
          <w:p>
            <w:pPr>
              <w:tabs>
                <w:tab w:val="left" w:pos="8100"/>
              </w:tabs>
              <w:spacing w:line="360" w:lineRule="auto"/>
              <w:jc w:val="both"/>
            </w:pPr>
            <w:r>
              <w:t>0.1</w:t>
            </w:r>
          </w:p>
        </w:tc>
        <w:tc>
          <w:tcPr>
            <w:tcW w:w="7674" w:type="dxa"/>
            <w:vAlign w:val="center"/>
          </w:tcPr>
          <w:p>
            <w:pPr>
              <w:tabs>
                <w:tab w:val="left" w:pos="8100"/>
              </w:tabs>
              <w:spacing w:line="360" w:lineRule="auto"/>
              <w:jc w:val="both"/>
            </w:pPr>
            <w:r>
              <w:t>封面</w:t>
            </w:r>
          </w:p>
        </w:tc>
      </w:tr>
      <w:tr>
        <w:tblPrEx>
          <w:tblCellMar>
            <w:top w:w="0" w:type="dxa"/>
            <w:left w:w="108" w:type="dxa"/>
            <w:bottom w:w="0" w:type="dxa"/>
            <w:right w:w="108" w:type="dxa"/>
          </w:tblCellMar>
        </w:tblPrEx>
        <w:trPr>
          <w:jc w:val="center"/>
        </w:trPr>
        <w:tc>
          <w:tcPr>
            <w:tcW w:w="1434" w:type="dxa"/>
          </w:tcPr>
          <w:p>
            <w:pPr>
              <w:spacing w:line="360" w:lineRule="auto"/>
              <w:jc w:val="both"/>
            </w:pPr>
            <w:r>
              <w:t>0.2</w:t>
            </w:r>
          </w:p>
        </w:tc>
        <w:tc>
          <w:tcPr>
            <w:tcW w:w="7674" w:type="dxa"/>
            <w:vAlign w:val="center"/>
          </w:tcPr>
          <w:p>
            <w:pPr>
              <w:spacing w:line="360" w:lineRule="auto"/>
              <w:jc w:val="both"/>
            </w:pPr>
            <w:r>
              <w:t>目录</w:t>
            </w:r>
          </w:p>
        </w:tc>
      </w:tr>
      <w:tr>
        <w:tblPrEx>
          <w:tblCellMar>
            <w:top w:w="0" w:type="dxa"/>
            <w:left w:w="108" w:type="dxa"/>
            <w:bottom w:w="0" w:type="dxa"/>
            <w:right w:w="108" w:type="dxa"/>
          </w:tblCellMar>
        </w:tblPrEx>
        <w:trPr>
          <w:jc w:val="center"/>
        </w:trPr>
        <w:tc>
          <w:tcPr>
            <w:tcW w:w="1434" w:type="dxa"/>
          </w:tcPr>
          <w:p>
            <w:pPr>
              <w:spacing w:line="360" w:lineRule="auto"/>
              <w:jc w:val="both"/>
            </w:pPr>
            <w:r>
              <w:t>0.3</w:t>
            </w:r>
          </w:p>
        </w:tc>
        <w:tc>
          <w:tcPr>
            <w:tcW w:w="7674" w:type="dxa"/>
            <w:vAlign w:val="center"/>
          </w:tcPr>
          <w:p>
            <w:pPr>
              <w:spacing w:line="360" w:lineRule="auto"/>
              <w:jc w:val="both"/>
            </w:pPr>
            <w:r>
              <w:t>颁布令</w:t>
            </w:r>
          </w:p>
        </w:tc>
      </w:tr>
      <w:tr>
        <w:tblPrEx>
          <w:tblCellMar>
            <w:top w:w="0" w:type="dxa"/>
            <w:left w:w="108" w:type="dxa"/>
            <w:bottom w:w="0" w:type="dxa"/>
            <w:right w:w="108" w:type="dxa"/>
          </w:tblCellMar>
        </w:tblPrEx>
        <w:trPr>
          <w:jc w:val="center"/>
        </w:trPr>
        <w:tc>
          <w:tcPr>
            <w:tcW w:w="1434" w:type="dxa"/>
          </w:tcPr>
          <w:p>
            <w:pPr>
              <w:spacing w:line="360" w:lineRule="auto"/>
              <w:jc w:val="both"/>
            </w:pPr>
            <w:r>
              <w:t>0.4</w:t>
            </w:r>
          </w:p>
        </w:tc>
        <w:tc>
          <w:tcPr>
            <w:tcW w:w="7674" w:type="dxa"/>
            <w:vAlign w:val="center"/>
          </w:tcPr>
          <w:p>
            <w:pPr>
              <w:spacing w:line="360" w:lineRule="auto"/>
              <w:jc w:val="both"/>
            </w:pPr>
            <w:r>
              <w:t>前言</w:t>
            </w:r>
          </w:p>
        </w:tc>
      </w:tr>
      <w:tr>
        <w:tblPrEx>
          <w:tblCellMar>
            <w:top w:w="0" w:type="dxa"/>
            <w:left w:w="108" w:type="dxa"/>
            <w:bottom w:w="0" w:type="dxa"/>
            <w:right w:w="108" w:type="dxa"/>
          </w:tblCellMar>
        </w:tblPrEx>
        <w:trPr>
          <w:jc w:val="center"/>
        </w:trPr>
        <w:tc>
          <w:tcPr>
            <w:tcW w:w="1434" w:type="dxa"/>
          </w:tcPr>
          <w:p>
            <w:pPr>
              <w:spacing w:line="360" w:lineRule="auto"/>
              <w:jc w:val="both"/>
            </w:pPr>
            <w:r>
              <w:t>1.0</w:t>
            </w:r>
          </w:p>
        </w:tc>
        <w:tc>
          <w:tcPr>
            <w:tcW w:w="7674" w:type="dxa"/>
            <w:vAlign w:val="center"/>
          </w:tcPr>
          <w:p>
            <w:pPr>
              <w:spacing w:line="360" w:lineRule="auto"/>
              <w:jc w:val="both"/>
            </w:pPr>
            <w:r>
              <w:t>公司概况</w:t>
            </w:r>
          </w:p>
        </w:tc>
      </w:tr>
      <w:tr>
        <w:tblPrEx>
          <w:tblCellMar>
            <w:top w:w="0" w:type="dxa"/>
            <w:left w:w="108" w:type="dxa"/>
            <w:bottom w:w="0" w:type="dxa"/>
            <w:right w:w="108" w:type="dxa"/>
          </w:tblCellMar>
        </w:tblPrEx>
        <w:trPr>
          <w:jc w:val="center"/>
        </w:trPr>
        <w:tc>
          <w:tcPr>
            <w:tcW w:w="1434" w:type="dxa"/>
          </w:tcPr>
          <w:p>
            <w:pPr>
              <w:tabs>
                <w:tab w:val="left" w:pos="6060"/>
              </w:tabs>
              <w:spacing w:line="360" w:lineRule="auto"/>
              <w:jc w:val="both"/>
            </w:pPr>
            <w:r>
              <w:t>2.0</w:t>
            </w:r>
          </w:p>
        </w:tc>
        <w:tc>
          <w:tcPr>
            <w:tcW w:w="7674" w:type="dxa"/>
            <w:vAlign w:val="center"/>
          </w:tcPr>
          <w:p>
            <w:pPr>
              <w:tabs>
                <w:tab w:val="left" w:pos="6060"/>
              </w:tabs>
              <w:spacing w:line="360" w:lineRule="auto"/>
              <w:jc w:val="both"/>
            </w:pPr>
            <w:r>
              <w:t>质量</w:t>
            </w:r>
            <w:r>
              <w:rPr>
                <w:rFonts w:hint="eastAsia"/>
              </w:rPr>
              <w:t>方针</w:t>
            </w:r>
            <w:r>
              <w:t>与目标</w:t>
            </w:r>
          </w:p>
        </w:tc>
      </w:tr>
      <w:tr>
        <w:tblPrEx>
          <w:tblCellMar>
            <w:top w:w="0" w:type="dxa"/>
            <w:left w:w="108" w:type="dxa"/>
            <w:bottom w:w="0" w:type="dxa"/>
            <w:right w:w="108" w:type="dxa"/>
          </w:tblCellMar>
        </w:tblPrEx>
        <w:trPr>
          <w:jc w:val="center"/>
        </w:trPr>
        <w:tc>
          <w:tcPr>
            <w:tcW w:w="1434" w:type="dxa"/>
          </w:tcPr>
          <w:p>
            <w:pPr>
              <w:tabs>
                <w:tab w:val="left" w:pos="6060"/>
              </w:tabs>
              <w:spacing w:line="360" w:lineRule="auto"/>
              <w:jc w:val="both"/>
            </w:pPr>
            <w:r>
              <w:t>3.0</w:t>
            </w:r>
          </w:p>
        </w:tc>
        <w:tc>
          <w:tcPr>
            <w:tcW w:w="7674" w:type="dxa"/>
            <w:vAlign w:val="center"/>
          </w:tcPr>
          <w:p>
            <w:pPr>
              <w:tabs>
                <w:tab w:val="left" w:pos="6060"/>
              </w:tabs>
              <w:spacing w:line="360" w:lineRule="auto"/>
              <w:jc w:val="both"/>
            </w:pPr>
            <w:r>
              <w:t>组织</w:t>
            </w:r>
            <w:r>
              <w:rPr>
                <w:rFonts w:hint="eastAsia"/>
              </w:rPr>
              <w:t>架构</w:t>
            </w:r>
          </w:p>
        </w:tc>
      </w:tr>
      <w:tr>
        <w:tblPrEx>
          <w:tblCellMar>
            <w:top w:w="0" w:type="dxa"/>
            <w:left w:w="108" w:type="dxa"/>
            <w:bottom w:w="0" w:type="dxa"/>
            <w:right w:w="108" w:type="dxa"/>
          </w:tblCellMar>
        </w:tblPrEx>
        <w:trPr>
          <w:jc w:val="center"/>
        </w:trPr>
        <w:tc>
          <w:tcPr>
            <w:tcW w:w="1434" w:type="dxa"/>
          </w:tcPr>
          <w:p>
            <w:pPr>
              <w:spacing w:line="360" w:lineRule="auto"/>
              <w:jc w:val="both"/>
            </w:pPr>
            <w:r>
              <w:t>4.0</w:t>
            </w:r>
          </w:p>
        </w:tc>
        <w:tc>
          <w:tcPr>
            <w:tcW w:w="7674" w:type="dxa"/>
            <w:vAlign w:val="center"/>
          </w:tcPr>
          <w:p>
            <w:pPr>
              <w:spacing w:line="360" w:lineRule="auto"/>
              <w:jc w:val="both"/>
            </w:pPr>
            <w:r>
              <w:t>组织环境</w:t>
            </w:r>
          </w:p>
        </w:tc>
      </w:tr>
      <w:tr>
        <w:tblPrEx>
          <w:tblCellMar>
            <w:top w:w="0" w:type="dxa"/>
            <w:left w:w="108" w:type="dxa"/>
            <w:bottom w:w="0" w:type="dxa"/>
            <w:right w:w="108" w:type="dxa"/>
          </w:tblCellMar>
        </w:tblPrEx>
        <w:trPr>
          <w:jc w:val="center"/>
        </w:trPr>
        <w:tc>
          <w:tcPr>
            <w:tcW w:w="1434" w:type="dxa"/>
          </w:tcPr>
          <w:p>
            <w:pPr>
              <w:spacing w:line="360" w:lineRule="auto"/>
              <w:jc w:val="both"/>
            </w:pPr>
            <w:r>
              <w:t>4.1</w:t>
            </w:r>
          </w:p>
        </w:tc>
        <w:tc>
          <w:tcPr>
            <w:tcW w:w="7674" w:type="dxa"/>
            <w:vAlign w:val="center"/>
          </w:tcPr>
          <w:p>
            <w:pPr>
              <w:spacing w:line="360" w:lineRule="auto"/>
              <w:jc w:val="both"/>
            </w:pPr>
            <w:r>
              <w:rPr>
                <w:rFonts w:hint="eastAsia" w:hAnsi="宋体"/>
              </w:rPr>
              <w:t>理解</w:t>
            </w:r>
            <w:r>
              <w:rPr>
                <w:rFonts w:hAnsi="宋体"/>
              </w:rPr>
              <w:t>组织及其环境</w:t>
            </w:r>
          </w:p>
        </w:tc>
      </w:tr>
      <w:tr>
        <w:tblPrEx>
          <w:tblCellMar>
            <w:top w:w="0" w:type="dxa"/>
            <w:left w:w="108" w:type="dxa"/>
            <w:bottom w:w="0" w:type="dxa"/>
            <w:right w:w="108" w:type="dxa"/>
          </w:tblCellMar>
        </w:tblPrEx>
        <w:trPr>
          <w:jc w:val="center"/>
        </w:trPr>
        <w:tc>
          <w:tcPr>
            <w:tcW w:w="1434" w:type="dxa"/>
          </w:tcPr>
          <w:p>
            <w:pPr>
              <w:spacing w:line="360" w:lineRule="auto"/>
              <w:jc w:val="both"/>
            </w:pPr>
            <w:r>
              <w:t>4.2</w:t>
            </w:r>
          </w:p>
        </w:tc>
        <w:tc>
          <w:tcPr>
            <w:tcW w:w="7674" w:type="dxa"/>
            <w:vAlign w:val="center"/>
          </w:tcPr>
          <w:p>
            <w:pPr>
              <w:spacing w:line="360" w:lineRule="auto"/>
              <w:jc w:val="both"/>
            </w:pPr>
            <w:r>
              <w:rPr>
                <w:rFonts w:hAnsi="宋体"/>
              </w:rPr>
              <w:t>理解相关方的需求和期望</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4.3</w:t>
            </w:r>
          </w:p>
        </w:tc>
        <w:tc>
          <w:tcPr>
            <w:tcW w:w="7674" w:type="dxa"/>
            <w:vAlign w:val="center"/>
          </w:tcPr>
          <w:p>
            <w:pPr>
              <w:spacing w:line="360" w:lineRule="auto"/>
              <w:jc w:val="both"/>
            </w:pPr>
            <w:r>
              <w:t>确定质量管理体系的范围</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4.4</w:t>
            </w:r>
          </w:p>
        </w:tc>
        <w:tc>
          <w:tcPr>
            <w:tcW w:w="7674" w:type="dxa"/>
            <w:vAlign w:val="center"/>
          </w:tcPr>
          <w:p>
            <w:pPr>
              <w:spacing w:line="360" w:lineRule="auto"/>
              <w:jc w:val="both"/>
            </w:pPr>
            <w:r>
              <w:t>质量管理体系及其过程</w:t>
            </w:r>
          </w:p>
        </w:tc>
      </w:tr>
      <w:tr>
        <w:tblPrEx>
          <w:tblCellMar>
            <w:top w:w="0" w:type="dxa"/>
            <w:left w:w="108" w:type="dxa"/>
            <w:bottom w:w="0" w:type="dxa"/>
            <w:right w:w="108" w:type="dxa"/>
          </w:tblCellMar>
        </w:tblPrEx>
        <w:trPr>
          <w:jc w:val="center"/>
        </w:trPr>
        <w:tc>
          <w:tcPr>
            <w:tcW w:w="1434" w:type="dxa"/>
          </w:tcPr>
          <w:p>
            <w:pPr>
              <w:spacing w:line="360" w:lineRule="auto"/>
              <w:jc w:val="both"/>
            </w:pPr>
            <w:r>
              <w:t>5.0</w:t>
            </w:r>
          </w:p>
        </w:tc>
        <w:tc>
          <w:tcPr>
            <w:tcW w:w="7674" w:type="dxa"/>
            <w:vAlign w:val="center"/>
          </w:tcPr>
          <w:p>
            <w:pPr>
              <w:spacing w:line="360" w:lineRule="auto"/>
              <w:jc w:val="both"/>
            </w:pPr>
            <w:r>
              <w:t xml:space="preserve">领导作用 </w:t>
            </w:r>
          </w:p>
        </w:tc>
      </w:tr>
      <w:tr>
        <w:tblPrEx>
          <w:tblCellMar>
            <w:top w:w="0" w:type="dxa"/>
            <w:left w:w="108" w:type="dxa"/>
            <w:bottom w:w="0" w:type="dxa"/>
            <w:right w:w="108" w:type="dxa"/>
          </w:tblCellMar>
        </w:tblPrEx>
        <w:trPr>
          <w:jc w:val="center"/>
        </w:trPr>
        <w:tc>
          <w:tcPr>
            <w:tcW w:w="1434" w:type="dxa"/>
          </w:tcPr>
          <w:p>
            <w:pPr>
              <w:spacing w:line="360" w:lineRule="auto"/>
              <w:jc w:val="both"/>
            </w:pPr>
            <w:r>
              <w:t>5.1</w:t>
            </w:r>
          </w:p>
        </w:tc>
        <w:tc>
          <w:tcPr>
            <w:tcW w:w="7674" w:type="dxa"/>
            <w:vAlign w:val="center"/>
          </w:tcPr>
          <w:p>
            <w:pPr>
              <w:spacing w:line="360" w:lineRule="auto"/>
              <w:jc w:val="both"/>
            </w:pPr>
            <w:r>
              <w:rPr>
                <w:rFonts w:hAnsi="宋体"/>
              </w:rPr>
              <w:t>领导作用和承诺</w:t>
            </w:r>
          </w:p>
        </w:tc>
      </w:tr>
      <w:tr>
        <w:tblPrEx>
          <w:tblCellMar>
            <w:top w:w="0" w:type="dxa"/>
            <w:left w:w="108" w:type="dxa"/>
            <w:bottom w:w="0" w:type="dxa"/>
            <w:right w:w="108" w:type="dxa"/>
          </w:tblCellMar>
        </w:tblPrEx>
        <w:trPr>
          <w:jc w:val="center"/>
        </w:trPr>
        <w:tc>
          <w:tcPr>
            <w:tcW w:w="1434" w:type="dxa"/>
          </w:tcPr>
          <w:p>
            <w:pPr>
              <w:spacing w:line="360" w:lineRule="auto"/>
              <w:jc w:val="both"/>
            </w:pPr>
            <w:r>
              <w:t>5.2</w:t>
            </w:r>
          </w:p>
        </w:tc>
        <w:tc>
          <w:tcPr>
            <w:tcW w:w="7674" w:type="dxa"/>
            <w:vAlign w:val="center"/>
          </w:tcPr>
          <w:p>
            <w:pPr>
              <w:spacing w:line="360" w:lineRule="auto"/>
              <w:jc w:val="both"/>
            </w:pPr>
            <w:r>
              <w:rPr>
                <w:rFonts w:hint="eastAsia" w:hAnsi="宋体"/>
              </w:rPr>
              <w:t>方针</w:t>
            </w:r>
          </w:p>
        </w:tc>
      </w:tr>
      <w:tr>
        <w:tblPrEx>
          <w:tblCellMar>
            <w:top w:w="0" w:type="dxa"/>
            <w:left w:w="108" w:type="dxa"/>
            <w:bottom w:w="0" w:type="dxa"/>
            <w:right w:w="108" w:type="dxa"/>
          </w:tblCellMar>
        </w:tblPrEx>
        <w:trPr>
          <w:jc w:val="center"/>
        </w:trPr>
        <w:tc>
          <w:tcPr>
            <w:tcW w:w="1434" w:type="dxa"/>
          </w:tcPr>
          <w:p>
            <w:pPr>
              <w:spacing w:line="360" w:lineRule="auto"/>
              <w:jc w:val="both"/>
            </w:pPr>
            <w:r>
              <w:t>5.3</w:t>
            </w:r>
          </w:p>
        </w:tc>
        <w:tc>
          <w:tcPr>
            <w:tcW w:w="7674" w:type="dxa"/>
            <w:vAlign w:val="center"/>
          </w:tcPr>
          <w:p>
            <w:pPr>
              <w:spacing w:line="360" w:lineRule="auto"/>
              <w:jc w:val="both"/>
              <w:rPr>
                <w:rFonts w:hAnsi="宋体"/>
              </w:rPr>
            </w:pPr>
            <w:r>
              <w:rPr>
                <w:rFonts w:hint="eastAsia" w:hAnsi="宋体"/>
              </w:rPr>
              <w:t>组织</w:t>
            </w:r>
            <w:r>
              <w:rPr>
                <w:rFonts w:hAnsi="宋体"/>
              </w:rPr>
              <w:t>的角色</w:t>
            </w:r>
            <w:r>
              <w:rPr>
                <w:rFonts w:hint="eastAsia" w:hAnsi="宋体"/>
              </w:rPr>
              <w:t>、</w:t>
            </w:r>
            <w:r>
              <w:rPr>
                <w:rFonts w:hAnsi="宋体"/>
              </w:rPr>
              <w:t>职责和权限</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6.0</w:t>
            </w:r>
          </w:p>
        </w:tc>
        <w:tc>
          <w:tcPr>
            <w:tcW w:w="7674" w:type="dxa"/>
            <w:vAlign w:val="center"/>
          </w:tcPr>
          <w:p>
            <w:pPr>
              <w:spacing w:line="360" w:lineRule="auto"/>
              <w:jc w:val="both"/>
              <w:rPr>
                <w:rFonts w:hAnsi="宋体"/>
              </w:rPr>
            </w:pPr>
            <w:r>
              <w:rPr>
                <w:rFonts w:hint="eastAsia" w:hAnsi="宋体"/>
              </w:rPr>
              <w:t>策划</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6.1</w:t>
            </w:r>
          </w:p>
        </w:tc>
        <w:tc>
          <w:tcPr>
            <w:tcW w:w="7674" w:type="dxa"/>
            <w:vAlign w:val="center"/>
          </w:tcPr>
          <w:p>
            <w:pPr>
              <w:spacing w:line="360" w:lineRule="auto"/>
              <w:jc w:val="both"/>
              <w:rPr>
                <w:rFonts w:hAnsi="宋体"/>
              </w:rPr>
            </w:pPr>
            <w:r>
              <w:rPr>
                <w:rFonts w:hint="eastAsia" w:hAnsi="宋体"/>
              </w:rPr>
              <w:t>应对风险和机遇</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6.2</w:t>
            </w:r>
          </w:p>
        </w:tc>
        <w:tc>
          <w:tcPr>
            <w:tcW w:w="7674" w:type="dxa"/>
            <w:vAlign w:val="center"/>
          </w:tcPr>
          <w:p>
            <w:pPr>
              <w:spacing w:line="360" w:lineRule="auto"/>
              <w:jc w:val="both"/>
              <w:rPr>
                <w:rFonts w:hAnsi="宋体"/>
              </w:rPr>
            </w:pPr>
            <w:r>
              <w:rPr>
                <w:rFonts w:hint="eastAsia" w:hAnsi="宋体"/>
              </w:rPr>
              <w:t>质量目标及其实现的策划</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6.3</w:t>
            </w:r>
          </w:p>
        </w:tc>
        <w:tc>
          <w:tcPr>
            <w:tcW w:w="7674" w:type="dxa"/>
            <w:vAlign w:val="center"/>
          </w:tcPr>
          <w:p>
            <w:pPr>
              <w:spacing w:line="360" w:lineRule="auto"/>
              <w:jc w:val="both"/>
              <w:rPr>
                <w:rFonts w:hAnsi="宋体"/>
              </w:rPr>
            </w:pPr>
            <w:r>
              <w:rPr>
                <w:rFonts w:hint="eastAsia" w:hAnsi="宋体"/>
              </w:rPr>
              <w:t>变更的策划</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7.0</w:t>
            </w:r>
          </w:p>
        </w:tc>
        <w:tc>
          <w:tcPr>
            <w:tcW w:w="7674" w:type="dxa"/>
            <w:vAlign w:val="center"/>
          </w:tcPr>
          <w:p>
            <w:pPr>
              <w:spacing w:line="360" w:lineRule="auto"/>
              <w:jc w:val="both"/>
              <w:rPr>
                <w:rFonts w:hAnsi="宋体"/>
              </w:rPr>
            </w:pPr>
            <w:r>
              <w:rPr>
                <w:rFonts w:hint="eastAsia" w:hAnsi="宋体"/>
              </w:rPr>
              <w:t>支持</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7.1</w:t>
            </w:r>
          </w:p>
        </w:tc>
        <w:tc>
          <w:tcPr>
            <w:tcW w:w="7674" w:type="dxa"/>
            <w:vAlign w:val="center"/>
          </w:tcPr>
          <w:p>
            <w:pPr>
              <w:spacing w:line="360" w:lineRule="auto"/>
              <w:jc w:val="both"/>
              <w:rPr>
                <w:rFonts w:hAnsi="宋体"/>
              </w:rPr>
            </w:pPr>
            <w:r>
              <w:rPr>
                <w:rFonts w:hint="eastAsia" w:hAnsi="宋体"/>
              </w:rPr>
              <w:t>资源</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7.2</w:t>
            </w:r>
          </w:p>
        </w:tc>
        <w:tc>
          <w:tcPr>
            <w:tcW w:w="7674" w:type="dxa"/>
            <w:vAlign w:val="center"/>
          </w:tcPr>
          <w:p>
            <w:pPr>
              <w:spacing w:line="360" w:lineRule="auto"/>
              <w:jc w:val="both"/>
              <w:rPr>
                <w:rFonts w:hAnsi="宋体"/>
              </w:rPr>
            </w:pPr>
            <w:r>
              <w:rPr>
                <w:rFonts w:hint="eastAsia" w:hAnsi="宋体"/>
              </w:rPr>
              <w:t>能力</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7.3</w:t>
            </w:r>
          </w:p>
        </w:tc>
        <w:tc>
          <w:tcPr>
            <w:tcW w:w="7674" w:type="dxa"/>
            <w:vAlign w:val="center"/>
          </w:tcPr>
          <w:p>
            <w:pPr>
              <w:spacing w:line="360" w:lineRule="auto"/>
              <w:jc w:val="both"/>
              <w:rPr>
                <w:rFonts w:hAnsi="宋体"/>
              </w:rPr>
            </w:pPr>
            <w:r>
              <w:rPr>
                <w:rFonts w:hint="eastAsia" w:hAnsi="宋体"/>
              </w:rPr>
              <w:t>意识</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7.4</w:t>
            </w:r>
          </w:p>
        </w:tc>
        <w:tc>
          <w:tcPr>
            <w:tcW w:w="7674" w:type="dxa"/>
            <w:vAlign w:val="center"/>
          </w:tcPr>
          <w:p>
            <w:pPr>
              <w:spacing w:line="360" w:lineRule="auto"/>
              <w:jc w:val="both"/>
              <w:rPr>
                <w:rFonts w:hAnsi="宋体"/>
              </w:rPr>
            </w:pPr>
            <w:r>
              <w:rPr>
                <w:rFonts w:hint="eastAsia" w:hAnsi="宋体"/>
              </w:rPr>
              <w:t>沟通</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7.5</w:t>
            </w:r>
          </w:p>
        </w:tc>
        <w:tc>
          <w:tcPr>
            <w:tcW w:w="7674" w:type="dxa"/>
            <w:vAlign w:val="center"/>
          </w:tcPr>
          <w:p>
            <w:pPr>
              <w:spacing w:line="360" w:lineRule="auto"/>
              <w:jc w:val="both"/>
              <w:rPr>
                <w:rFonts w:hAnsi="宋体"/>
              </w:rPr>
            </w:pPr>
            <w:r>
              <w:rPr>
                <w:rFonts w:hint="eastAsia" w:hAnsi="宋体"/>
              </w:rPr>
              <w:t>形成文件的信息</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8.0</w:t>
            </w:r>
          </w:p>
        </w:tc>
        <w:tc>
          <w:tcPr>
            <w:tcW w:w="7674" w:type="dxa"/>
            <w:vAlign w:val="center"/>
          </w:tcPr>
          <w:p>
            <w:pPr>
              <w:spacing w:line="360" w:lineRule="auto"/>
              <w:jc w:val="both"/>
              <w:rPr>
                <w:rFonts w:hAnsi="宋体"/>
              </w:rPr>
            </w:pPr>
            <w:r>
              <w:rPr>
                <w:rFonts w:hint="eastAsia" w:hAnsi="宋体"/>
              </w:rPr>
              <w:t>运行</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8.1</w:t>
            </w:r>
          </w:p>
        </w:tc>
        <w:tc>
          <w:tcPr>
            <w:tcW w:w="7674" w:type="dxa"/>
            <w:vAlign w:val="center"/>
          </w:tcPr>
          <w:p>
            <w:pPr>
              <w:spacing w:line="360" w:lineRule="auto"/>
              <w:jc w:val="both"/>
              <w:rPr>
                <w:rFonts w:hAnsi="宋体"/>
              </w:rPr>
            </w:pPr>
            <w:r>
              <w:rPr>
                <w:rFonts w:hint="eastAsia" w:hAnsi="宋体"/>
              </w:rPr>
              <w:t>运行策划和控制</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8.2</w:t>
            </w:r>
          </w:p>
        </w:tc>
        <w:tc>
          <w:tcPr>
            <w:tcW w:w="7674" w:type="dxa"/>
            <w:vAlign w:val="center"/>
          </w:tcPr>
          <w:p>
            <w:pPr>
              <w:spacing w:line="360" w:lineRule="auto"/>
              <w:jc w:val="both"/>
              <w:rPr>
                <w:rFonts w:hAnsi="宋体"/>
              </w:rPr>
            </w:pPr>
            <w:r>
              <w:rPr>
                <w:rFonts w:hint="eastAsia" w:hAnsi="宋体"/>
              </w:rPr>
              <w:t>产品和服务的要求</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8.3</w:t>
            </w:r>
          </w:p>
        </w:tc>
        <w:tc>
          <w:tcPr>
            <w:tcW w:w="7674" w:type="dxa"/>
            <w:vAlign w:val="center"/>
          </w:tcPr>
          <w:p>
            <w:pPr>
              <w:spacing w:line="360" w:lineRule="auto"/>
              <w:jc w:val="both"/>
              <w:rPr>
                <w:rFonts w:hAnsi="宋体"/>
              </w:rPr>
            </w:pPr>
            <w:r>
              <w:rPr>
                <w:rFonts w:hint="eastAsia" w:hAnsi="宋体"/>
              </w:rPr>
              <w:t>产品和服务的设计和开发</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8.4</w:t>
            </w:r>
          </w:p>
        </w:tc>
        <w:tc>
          <w:tcPr>
            <w:tcW w:w="7674" w:type="dxa"/>
            <w:vAlign w:val="center"/>
          </w:tcPr>
          <w:p>
            <w:pPr>
              <w:spacing w:line="360" w:lineRule="auto"/>
              <w:jc w:val="both"/>
              <w:rPr>
                <w:rFonts w:hAnsi="宋体"/>
              </w:rPr>
            </w:pPr>
            <w:r>
              <w:rPr>
                <w:rFonts w:hint="eastAsia" w:hAnsi="宋体"/>
              </w:rPr>
              <w:t>外部提供过程、产品和服务控制</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8.5</w:t>
            </w:r>
          </w:p>
        </w:tc>
        <w:tc>
          <w:tcPr>
            <w:tcW w:w="7674" w:type="dxa"/>
            <w:vAlign w:val="center"/>
          </w:tcPr>
          <w:p>
            <w:pPr>
              <w:spacing w:line="360" w:lineRule="auto"/>
              <w:jc w:val="both"/>
              <w:rPr>
                <w:rFonts w:hAnsi="宋体"/>
              </w:rPr>
            </w:pPr>
            <w:r>
              <w:rPr>
                <w:rFonts w:hint="eastAsia" w:hAnsi="宋体"/>
              </w:rPr>
              <w:t>服务和服务提供</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8.6</w:t>
            </w:r>
          </w:p>
        </w:tc>
        <w:tc>
          <w:tcPr>
            <w:tcW w:w="7674" w:type="dxa"/>
            <w:vAlign w:val="center"/>
          </w:tcPr>
          <w:p>
            <w:pPr>
              <w:spacing w:line="360" w:lineRule="auto"/>
              <w:jc w:val="both"/>
              <w:rPr>
                <w:rFonts w:hAnsi="宋体"/>
              </w:rPr>
            </w:pPr>
            <w:r>
              <w:rPr>
                <w:rFonts w:hint="eastAsia" w:hAnsi="宋体"/>
              </w:rPr>
              <w:t>产品和服务的放行</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8.7</w:t>
            </w:r>
          </w:p>
        </w:tc>
        <w:tc>
          <w:tcPr>
            <w:tcW w:w="7674" w:type="dxa"/>
            <w:vAlign w:val="center"/>
          </w:tcPr>
          <w:p>
            <w:pPr>
              <w:spacing w:line="360" w:lineRule="auto"/>
              <w:jc w:val="both"/>
              <w:rPr>
                <w:rFonts w:hAnsi="宋体"/>
              </w:rPr>
            </w:pPr>
            <w:r>
              <w:rPr>
                <w:rFonts w:hint="eastAsia" w:hAnsi="宋体"/>
              </w:rPr>
              <w:t>不合格输出的控制</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9.0</w:t>
            </w:r>
          </w:p>
        </w:tc>
        <w:tc>
          <w:tcPr>
            <w:tcW w:w="7674" w:type="dxa"/>
            <w:vAlign w:val="center"/>
          </w:tcPr>
          <w:p>
            <w:pPr>
              <w:spacing w:line="360" w:lineRule="auto"/>
              <w:jc w:val="both"/>
              <w:rPr>
                <w:rFonts w:hAnsi="宋体"/>
              </w:rPr>
            </w:pPr>
            <w:r>
              <w:rPr>
                <w:rFonts w:hint="eastAsia" w:hAnsi="宋体"/>
              </w:rPr>
              <w:t>监视、测量、分析和评价</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9.1</w:t>
            </w:r>
          </w:p>
        </w:tc>
        <w:tc>
          <w:tcPr>
            <w:tcW w:w="7674" w:type="dxa"/>
            <w:vAlign w:val="center"/>
          </w:tcPr>
          <w:p>
            <w:pPr>
              <w:spacing w:line="360" w:lineRule="auto"/>
              <w:jc w:val="both"/>
              <w:rPr>
                <w:rFonts w:hAnsi="宋体"/>
              </w:rPr>
            </w:pPr>
            <w:r>
              <w:rPr>
                <w:rFonts w:hint="eastAsia" w:hAnsi="宋体"/>
              </w:rPr>
              <w:t>监视、测量、分析和评价</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9.2</w:t>
            </w:r>
          </w:p>
        </w:tc>
        <w:tc>
          <w:tcPr>
            <w:tcW w:w="7674" w:type="dxa"/>
            <w:vAlign w:val="center"/>
          </w:tcPr>
          <w:p>
            <w:pPr>
              <w:spacing w:line="360" w:lineRule="auto"/>
              <w:jc w:val="both"/>
              <w:rPr>
                <w:rFonts w:hAnsi="宋体"/>
              </w:rPr>
            </w:pPr>
            <w:r>
              <w:rPr>
                <w:rFonts w:hint="eastAsia" w:hAnsi="宋体"/>
              </w:rPr>
              <w:t>内部审核</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9.3</w:t>
            </w:r>
          </w:p>
        </w:tc>
        <w:tc>
          <w:tcPr>
            <w:tcW w:w="7674" w:type="dxa"/>
            <w:vAlign w:val="center"/>
          </w:tcPr>
          <w:p>
            <w:pPr>
              <w:spacing w:line="360" w:lineRule="auto"/>
              <w:jc w:val="both"/>
              <w:rPr>
                <w:rFonts w:hAnsi="宋体"/>
              </w:rPr>
            </w:pPr>
            <w:r>
              <w:rPr>
                <w:rFonts w:hint="eastAsia" w:hAnsi="宋体"/>
              </w:rPr>
              <w:t>管理评审</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10.0</w:t>
            </w:r>
          </w:p>
        </w:tc>
        <w:tc>
          <w:tcPr>
            <w:tcW w:w="7674" w:type="dxa"/>
            <w:vAlign w:val="center"/>
          </w:tcPr>
          <w:p>
            <w:pPr>
              <w:spacing w:line="360" w:lineRule="auto"/>
              <w:jc w:val="both"/>
              <w:rPr>
                <w:rFonts w:hAnsi="宋体"/>
              </w:rPr>
            </w:pPr>
            <w:r>
              <w:rPr>
                <w:rFonts w:hint="eastAsia" w:hAnsi="宋体"/>
              </w:rPr>
              <w:t>改进</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10.1</w:t>
            </w:r>
          </w:p>
        </w:tc>
        <w:tc>
          <w:tcPr>
            <w:tcW w:w="7674" w:type="dxa"/>
            <w:vAlign w:val="center"/>
          </w:tcPr>
          <w:p>
            <w:pPr>
              <w:spacing w:line="360" w:lineRule="auto"/>
              <w:jc w:val="both"/>
              <w:rPr>
                <w:rFonts w:hAnsi="宋体"/>
              </w:rPr>
            </w:pPr>
            <w:r>
              <w:rPr>
                <w:rFonts w:hint="eastAsia" w:hAnsi="宋体"/>
              </w:rPr>
              <w:t>总则</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10.2</w:t>
            </w:r>
          </w:p>
        </w:tc>
        <w:tc>
          <w:tcPr>
            <w:tcW w:w="7674" w:type="dxa"/>
            <w:vAlign w:val="center"/>
          </w:tcPr>
          <w:p>
            <w:pPr>
              <w:spacing w:line="360" w:lineRule="auto"/>
              <w:jc w:val="both"/>
              <w:rPr>
                <w:rFonts w:hAnsi="宋体"/>
              </w:rPr>
            </w:pPr>
            <w:r>
              <w:rPr>
                <w:rFonts w:hint="eastAsia" w:hAnsi="宋体"/>
              </w:rPr>
              <w:t>不合格与纠正措施</w:t>
            </w:r>
          </w:p>
        </w:tc>
      </w:tr>
      <w:tr>
        <w:tblPrEx>
          <w:tblCellMar>
            <w:top w:w="0" w:type="dxa"/>
            <w:left w:w="108" w:type="dxa"/>
            <w:bottom w:w="0" w:type="dxa"/>
            <w:right w:w="108" w:type="dxa"/>
          </w:tblCellMar>
        </w:tblPrEx>
        <w:trPr>
          <w:jc w:val="center"/>
        </w:trPr>
        <w:tc>
          <w:tcPr>
            <w:tcW w:w="1434" w:type="dxa"/>
          </w:tcPr>
          <w:p>
            <w:pPr>
              <w:spacing w:line="360" w:lineRule="auto"/>
              <w:jc w:val="both"/>
            </w:pPr>
            <w:r>
              <w:rPr>
                <w:rFonts w:hint="eastAsia"/>
              </w:rPr>
              <w:t>10.3</w:t>
            </w:r>
          </w:p>
          <w:p>
            <w:pPr>
              <w:spacing w:line="360" w:lineRule="auto"/>
              <w:jc w:val="both"/>
            </w:pPr>
          </w:p>
        </w:tc>
        <w:tc>
          <w:tcPr>
            <w:tcW w:w="7674" w:type="dxa"/>
            <w:vAlign w:val="center"/>
          </w:tcPr>
          <w:p>
            <w:pPr>
              <w:spacing w:line="360" w:lineRule="auto"/>
              <w:jc w:val="both"/>
              <w:rPr>
                <w:rFonts w:hAnsi="宋体"/>
              </w:rPr>
            </w:pPr>
            <w:r>
              <w:rPr>
                <w:rFonts w:hint="eastAsia" w:hAnsi="宋体"/>
              </w:rPr>
              <w:t>持续改进</w:t>
            </w:r>
          </w:p>
          <w:p>
            <w:pPr>
              <w:spacing w:line="360" w:lineRule="auto"/>
              <w:jc w:val="both"/>
              <w:rPr>
                <w:rFonts w:hAnsi="宋体"/>
              </w:rPr>
            </w:pPr>
            <w:r>
              <w:rPr>
                <w:rFonts w:hint="eastAsia" w:hAnsi="宋体"/>
              </w:rPr>
              <w:t>附件一：程序文件清单</w:t>
            </w:r>
          </w:p>
        </w:tc>
      </w:tr>
      <w:tr>
        <w:tblPrEx>
          <w:tblCellMar>
            <w:top w:w="0" w:type="dxa"/>
            <w:left w:w="108" w:type="dxa"/>
            <w:bottom w:w="0" w:type="dxa"/>
            <w:right w:w="108" w:type="dxa"/>
          </w:tblCellMar>
        </w:tblPrEx>
        <w:trPr>
          <w:jc w:val="center"/>
        </w:trPr>
        <w:tc>
          <w:tcPr>
            <w:tcW w:w="1434" w:type="dxa"/>
          </w:tcPr>
          <w:p>
            <w:pPr>
              <w:spacing w:line="360" w:lineRule="auto"/>
              <w:jc w:val="both"/>
            </w:pPr>
          </w:p>
        </w:tc>
        <w:tc>
          <w:tcPr>
            <w:tcW w:w="7674" w:type="dxa"/>
            <w:vAlign w:val="center"/>
          </w:tcPr>
          <w:p>
            <w:pPr>
              <w:spacing w:line="360" w:lineRule="auto"/>
              <w:jc w:val="both"/>
              <w:rPr>
                <w:rFonts w:hAnsi="宋体"/>
              </w:rPr>
            </w:pPr>
            <w:r>
              <w:rPr>
                <w:rFonts w:hint="eastAsia" w:hAnsi="宋体"/>
              </w:rPr>
              <w:t>附件二：职能分配表</w:t>
            </w:r>
          </w:p>
          <w:p>
            <w:pPr>
              <w:spacing w:line="360" w:lineRule="auto"/>
              <w:jc w:val="both"/>
              <w:rPr>
                <w:rFonts w:hAnsi="宋体"/>
              </w:rPr>
            </w:pPr>
            <w:r>
              <w:rPr>
                <w:rFonts w:hint="eastAsia" w:hAnsi="宋体"/>
              </w:rPr>
              <w:t>附件三：流程图</w:t>
            </w:r>
          </w:p>
        </w:tc>
      </w:tr>
    </w:tbl>
    <w:p>
      <w:pPr>
        <w:spacing w:line="360" w:lineRule="auto"/>
        <w:jc w:val="center"/>
        <w:rPr>
          <w:rFonts w:eastAsia="黑体"/>
          <w:sz w:val="48"/>
        </w:rPr>
      </w:pPr>
      <w:r>
        <w:rPr>
          <w:rFonts w:eastAsia="黑体"/>
          <w:sz w:val="48"/>
        </w:rPr>
        <w:br w:type="page"/>
      </w:r>
      <w:r>
        <w:rPr>
          <w:rFonts w:eastAsia="黑体"/>
          <w:sz w:val="48"/>
        </w:rPr>
        <w:t>质量手册颁布令</w:t>
      </w:r>
    </w:p>
    <w:p>
      <w:pPr>
        <w:spacing w:line="360" w:lineRule="auto"/>
        <w:jc w:val="center"/>
        <w:rPr>
          <w:rFonts w:eastAsia="黑体"/>
          <w:sz w:val="48"/>
        </w:rPr>
      </w:pPr>
    </w:p>
    <w:p>
      <w:pPr>
        <w:spacing w:line="360" w:lineRule="auto"/>
        <w:ind w:firstLine="560" w:firstLineChars="200"/>
        <w:rPr>
          <w:sz w:val="28"/>
        </w:rPr>
      </w:pPr>
      <w:r>
        <w:rPr>
          <w:rFonts w:hint="eastAsia"/>
          <w:sz w:val="28"/>
        </w:rPr>
        <w:t>为了持续保证向顾客提供合格一致的产品和服务，更好更快地加速公司的发展，公司按照</w:t>
      </w:r>
      <w:r>
        <w:rPr>
          <w:sz w:val="28"/>
        </w:rPr>
        <w:t>GB/T19001—2016</w:t>
      </w:r>
      <w:r>
        <w:rPr>
          <w:rFonts w:hint="eastAsia"/>
          <w:sz w:val="28"/>
        </w:rPr>
        <w:t>《质量管理体系  要求》并从公司实际出发编制完成了体系指导性文件--《质量手册》（以下简称手册）。</w:t>
      </w:r>
    </w:p>
    <w:p>
      <w:pPr>
        <w:spacing w:line="360" w:lineRule="auto"/>
        <w:ind w:firstLine="560" w:firstLineChars="200"/>
        <w:rPr>
          <w:sz w:val="28"/>
        </w:rPr>
      </w:pPr>
      <w:r>
        <w:rPr>
          <w:rFonts w:hint="eastAsia"/>
          <w:sz w:val="28"/>
        </w:rPr>
        <w:t>本手册体现了公司对顾客的质量承诺，分析了公司的背景环境，理解相关方要求，规定了质量管理体系的组织结构、职责权限和体系的管理层次，在过程方法的实施过程中识别了风险，制定了控制方法。本手册是指导本公司建立并实施质量管理体系的纲领和行动准则，是公司质量管理的法规性文件。经审定，手册符合有关法律、法规及公司当前发展实际情况，现正式批准发布，要求全司员工认真学习，从20</w:t>
      </w:r>
      <w:r>
        <w:rPr>
          <w:sz w:val="28"/>
        </w:rPr>
        <w:t>20</w:t>
      </w:r>
      <w:r>
        <w:rPr>
          <w:rFonts w:hint="eastAsia"/>
          <w:sz w:val="28"/>
        </w:rPr>
        <w:t>年</w:t>
      </w:r>
      <w:r>
        <w:rPr>
          <w:sz w:val="28"/>
        </w:rPr>
        <w:t>1</w:t>
      </w:r>
      <w:r>
        <w:rPr>
          <w:rFonts w:hint="eastAsia"/>
          <w:sz w:val="28"/>
        </w:rPr>
        <w:t>月3日  开始在</w:t>
      </w:r>
      <w:r>
        <w:rPr>
          <w:rFonts w:hint="eastAsia"/>
          <w:b/>
          <w:sz w:val="28"/>
        </w:rPr>
        <w:t>光电材料、半导体、光伏电子产业的设备维修工作中</w:t>
      </w:r>
      <w:r>
        <w:rPr>
          <w:rFonts w:hint="eastAsia"/>
          <w:sz w:val="28"/>
        </w:rPr>
        <w:t>必须遵照执行。</w:t>
      </w:r>
    </w:p>
    <w:p>
      <w:pPr>
        <w:spacing w:line="360" w:lineRule="auto"/>
        <w:ind w:firstLine="560" w:firstLineChars="200"/>
        <w:rPr>
          <w:sz w:val="28"/>
        </w:rPr>
      </w:pPr>
      <w:r>
        <w:rPr>
          <w:sz w:val="28"/>
        </w:rPr>
        <w:t>本手册亦可作为对外提供质量保证和第三方审核使用。</w:t>
      </w:r>
    </w:p>
    <w:p>
      <w:pPr>
        <w:spacing w:line="360" w:lineRule="auto"/>
        <w:ind w:left="540" w:hanging="540"/>
        <w:rPr>
          <w:sz w:val="32"/>
        </w:rPr>
      </w:pPr>
    </w:p>
    <w:p>
      <w:pPr>
        <w:spacing w:line="360" w:lineRule="auto"/>
        <w:ind w:left="540" w:hanging="540"/>
        <w:rPr>
          <w:sz w:val="32"/>
        </w:rPr>
      </w:pPr>
    </w:p>
    <w:p>
      <w:pPr>
        <w:spacing w:line="360" w:lineRule="auto"/>
        <w:ind w:left="540" w:hanging="540"/>
        <w:rPr>
          <w:sz w:val="32"/>
        </w:rPr>
      </w:pPr>
    </w:p>
    <w:p>
      <w:pPr>
        <w:spacing w:line="360" w:lineRule="auto"/>
        <w:ind w:firstLine="4498" w:firstLineChars="1600"/>
        <w:rPr>
          <w:b/>
          <w:sz w:val="28"/>
          <w:szCs w:val="28"/>
        </w:rPr>
      </w:pPr>
      <w:r>
        <w:rPr>
          <w:b/>
          <w:sz w:val="28"/>
          <w:szCs w:val="28"/>
        </w:rPr>
        <w:t xml:space="preserve">总经理： </w:t>
      </w:r>
      <w:r>
        <w:rPr>
          <w:rFonts w:hint="eastAsia"/>
          <w:b/>
          <w:sz w:val="28"/>
          <w:szCs w:val="28"/>
        </w:rPr>
        <w:t>王仁义</w:t>
      </w:r>
    </w:p>
    <w:p>
      <w:pPr>
        <w:spacing w:line="360" w:lineRule="auto"/>
        <w:ind w:left="540" w:hanging="540"/>
        <w:rPr>
          <w:b/>
          <w:sz w:val="28"/>
          <w:szCs w:val="28"/>
        </w:rPr>
      </w:pPr>
      <w:r>
        <w:rPr>
          <w:b/>
          <w:sz w:val="28"/>
          <w:szCs w:val="28"/>
        </w:rPr>
        <w:t xml:space="preserve">                            日期：</w:t>
      </w:r>
      <w:r>
        <w:rPr>
          <w:rFonts w:hint="eastAsia"/>
          <w:b/>
          <w:sz w:val="28"/>
          <w:szCs w:val="28"/>
        </w:rPr>
        <w:t>20</w:t>
      </w:r>
      <w:r>
        <w:rPr>
          <w:b/>
          <w:sz w:val="28"/>
          <w:szCs w:val="28"/>
        </w:rPr>
        <w:t>20</w:t>
      </w:r>
      <w:r>
        <w:rPr>
          <w:rFonts w:hint="eastAsia"/>
          <w:b/>
          <w:sz w:val="28"/>
          <w:szCs w:val="28"/>
        </w:rPr>
        <w:t>年</w:t>
      </w:r>
      <w:r>
        <w:rPr>
          <w:b/>
          <w:sz w:val="28"/>
          <w:szCs w:val="28"/>
        </w:rPr>
        <w:t>1</w:t>
      </w:r>
      <w:r>
        <w:rPr>
          <w:rFonts w:hint="eastAsia"/>
          <w:b/>
          <w:sz w:val="28"/>
          <w:szCs w:val="28"/>
        </w:rPr>
        <w:t>月</w:t>
      </w:r>
      <w:r>
        <w:rPr>
          <w:b/>
          <w:sz w:val="28"/>
          <w:szCs w:val="28"/>
        </w:rPr>
        <w:t>2</w:t>
      </w:r>
      <w:r>
        <w:rPr>
          <w:rFonts w:hint="eastAsia"/>
          <w:b/>
          <w:sz w:val="28"/>
          <w:szCs w:val="28"/>
        </w:rPr>
        <w:t xml:space="preserve">日  </w:t>
      </w:r>
    </w:p>
    <w:p>
      <w:pPr>
        <w:spacing w:line="360" w:lineRule="auto"/>
        <w:rPr>
          <w:sz w:val="32"/>
        </w:rPr>
      </w:pPr>
    </w:p>
    <w:p>
      <w:pPr>
        <w:spacing w:line="360" w:lineRule="auto"/>
        <w:jc w:val="center"/>
        <w:rPr>
          <w:rFonts w:eastAsia="黑体"/>
          <w:sz w:val="48"/>
        </w:rPr>
      </w:pPr>
    </w:p>
    <w:p>
      <w:pPr>
        <w:spacing w:line="360" w:lineRule="auto"/>
        <w:jc w:val="center"/>
        <w:outlineLvl w:val="0"/>
        <w:rPr>
          <w:rFonts w:eastAsia="黑体"/>
          <w:sz w:val="48"/>
        </w:rPr>
      </w:pPr>
      <w:r>
        <w:rPr>
          <w:rFonts w:eastAsia="黑体"/>
          <w:sz w:val="48"/>
        </w:rPr>
        <w:br w:type="page"/>
      </w:r>
      <w:r>
        <w:rPr>
          <w:rFonts w:eastAsia="黑体"/>
          <w:sz w:val="48"/>
        </w:rPr>
        <w:t>前 言</w:t>
      </w:r>
    </w:p>
    <w:p>
      <w:pPr>
        <w:spacing w:line="360" w:lineRule="auto"/>
        <w:jc w:val="center"/>
        <w:rPr>
          <w:rFonts w:eastAsia="黑体"/>
          <w:sz w:val="48"/>
        </w:rPr>
      </w:pPr>
    </w:p>
    <w:p>
      <w:pPr>
        <w:spacing w:line="360" w:lineRule="auto"/>
        <w:ind w:left="120" w:right="120" w:firstLine="560" w:firstLineChars="200"/>
        <w:rPr>
          <w:sz w:val="28"/>
        </w:rPr>
      </w:pPr>
      <w:r>
        <w:rPr>
          <w:sz w:val="28"/>
        </w:rPr>
        <w:t>本质量手册是按照GB/T19001—2016标准质量管理体系要求编写的，阐述</w:t>
      </w:r>
      <w:r>
        <w:rPr>
          <w:rFonts w:hint="eastAsia"/>
          <w:sz w:val="28"/>
        </w:rPr>
        <w:t>海珀（滁州）材料科技有限公司</w:t>
      </w:r>
      <w:r>
        <w:rPr>
          <w:sz w:val="28"/>
        </w:rPr>
        <w:t>（</w:t>
      </w:r>
      <w:r>
        <w:rPr>
          <w:rFonts w:hint="eastAsia"/>
          <w:sz w:val="28"/>
        </w:rPr>
        <w:t>以</w:t>
      </w:r>
      <w:r>
        <w:rPr>
          <w:sz w:val="28"/>
        </w:rPr>
        <w:t>下简称本公司）的质量方针和质量目标，组织机构及主要管理层的职责、权限和相互关系，并简要描述质量管理体系文件，是本公司质量管理体系的纲领性文件，全体员工必须贯彻实施。</w:t>
      </w:r>
    </w:p>
    <w:p>
      <w:pPr>
        <w:spacing w:line="360" w:lineRule="auto"/>
        <w:ind w:left="181" w:firstLine="560"/>
        <w:rPr>
          <w:sz w:val="28"/>
        </w:rPr>
      </w:pPr>
      <w:r>
        <w:rPr>
          <w:sz w:val="28"/>
        </w:rPr>
        <w:t>本手册各项编写与GB/T19001—2016标准要素的编写相一致，可以对照参阅。</w:t>
      </w:r>
    </w:p>
    <w:p>
      <w:pPr>
        <w:spacing w:line="360" w:lineRule="auto"/>
        <w:ind w:left="180"/>
        <w:rPr>
          <w:sz w:val="28"/>
        </w:rPr>
      </w:pPr>
      <w:r>
        <w:rPr>
          <w:sz w:val="28"/>
        </w:rPr>
        <w:t xml:space="preserve">    本手册中的有关术语</w:t>
      </w:r>
      <w:r>
        <w:rPr>
          <w:rFonts w:hint="eastAsia"/>
          <w:sz w:val="28"/>
        </w:rPr>
        <w:t>参照</w:t>
      </w:r>
      <w:r>
        <w:rPr>
          <w:sz w:val="28"/>
        </w:rPr>
        <w:t>GB/T19000—2016质量管理体系术语中的规定。</w:t>
      </w:r>
    </w:p>
    <w:p>
      <w:pPr>
        <w:tabs>
          <w:tab w:val="left" w:pos="1800"/>
        </w:tabs>
        <w:spacing w:line="360" w:lineRule="auto"/>
        <w:ind w:left="360"/>
        <w:rPr>
          <w:sz w:val="28"/>
        </w:rPr>
      </w:pPr>
    </w:p>
    <w:p>
      <w:pPr>
        <w:spacing w:line="360" w:lineRule="auto"/>
        <w:rPr>
          <w:sz w:val="28"/>
        </w:rPr>
      </w:pPr>
    </w:p>
    <w:p>
      <w:pPr>
        <w:spacing w:line="360" w:lineRule="auto"/>
        <w:rPr>
          <w:sz w:val="28"/>
        </w:rPr>
      </w:pPr>
    </w:p>
    <w:p>
      <w:pPr>
        <w:spacing w:line="360" w:lineRule="auto"/>
        <w:rPr>
          <w:sz w:val="28"/>
        </w:rPr>
      </w:pPr>
    </w:p>
    <w:p>
      <w:pPr>
        <w:spacing w:line="360" w:lineRule="auto"/>
        <w:jc w:val="center"/>
        <w:rPr>
          <w:rFonts w:ascii="宋体" w:hAnsi="宋体"/>
          <w:b/>
          <w:sz w:val="28"/>
          <w:szCs w:val="28"/>
        </w:rPr>
      </w:pPr>
      <w:r>
        <w:rPr>
          <w:rFonts w:eastAsia="黑体"/>
          <w:sz w:val="48"/>
        </w:rPr>
        <w:br w:type="page"/>
      </w:r>
      <w:r>
        <w:rPr>
          <w:rFonts w:ascii="宋体" w:hAnsi="宋体"/>
          <w:b/>
          <w:sz w:val="28"/>
          <w:szCs w:val="28"/>
        </w:rPr>
        <w:t>公司概况</w:t>
      </w:r>
    </w:p>
    <w:p>
      <w:pPr>
        <w:tabs>
          <w:tab w:val="center" w:pos="6860"/>
          <w:tab w:val="right" w:pos="9429"/>
        </w:tabs>
        <w:spacing w:line="480" w:lineRule="auto"/>
        <w:ind w:firstLine="468"/>
        <w:rPr>
          <w:rFonts w:ascii="宋体" w:hAnsi="宋体"/>
          <w:sz w:val="28"/>
          <w:szCs w:val="28"/>
          <w:highlight w:val="yellow"/>
        </w:rPr>
      </w:pPr>
      <w:r>
        <w:rPr>
          <w:rFonts w:hint="eastAsia" w:ascii="宋体" w:hAnsi="宋体" w:cs="宋体"/>
          <w:sz w:val="28"/>
          <w:szCs w:val="28"/>
        </w:rPr>
        <w:t>海珀（滁州）材料科技有限公司是新加坡佳晟精密仪器设备服务有限公司于2019年在滁州成立的全资子公司。公司致力于光电材料、半导体、光伏电子产业的技术服务及技术咨询等工作，为行业用户提供全系列的技术解决方案。</w:t>
      </w:r>
    </w:p>
    <w:p>
      <w:pPr>
        <w:tabs>
          <w:tab w:val="center" w:pos="6860"/>
          <w:tab w:val="right" w:pos="9429"/>
        </w:tabs>
        <w:ind w:firstLine="468"/>
        <w:rPr>
          <w:rFonts w:ascii="宋体" w:hAnsi="宋体"/>
          <w:sz w:val="28"/>
          <w:szCs w:val="28"/>
          <w:highlight w:val="yellow"/>
        </w:rPr>
      </w:pPr>
    </w:p>
    <w:p>
      <w:pPr>
        <w:tabs>
          <w:tab w:val="center" w:pos="6860"/>
          <w:tab w:val="right" w:pos="9429"/>
        </w:tabs>
        <w:ind w:firstLine="468"/>
        <w:rPr>
          <w:rFonts w:ascii="宋体" w:hAnsi="宋体"/>
          <w:sz w:val="28"/>
          <w:szCs w:val="28"/>
          <w:highlight w:val="yellow"/>
        </w:rPr>
      </w:pPr>
    </w:p>
    <w:p>
      <w:pPr>
        <w:tabs>
          <w:tab w:val="right" w:pos="8849"/>
        </w:tabs>
        <w:spacing w:line="440" w:lineRule="exact"/>
        <w:ind w:firstLine="560" w:firstLineChars="200"/>
        <w:rPr>
          <w:color w:val="000000"/>
          <w:sz w:val="28"/>
          <w:szCs w:val="28"/>
        </w:rPr>
      </w:pPr>
      <w:r>
        <w:rPr>
          <w:rFonts w:hint="eastAsia" w:ascii="宋体" w:hAnsi="宋体"/>
          <w:color w:val="000000"/>
          <w:sz w:val="28"/>
          <w:szCs w:val="28"/>
        </w:rPr>
        <w:t>公司地址：</w:t>
      </w:r>
      <w:r>
        <w:rPr>
          <w:rFonts w:hint="eastAsia" w:ascii="宋体" w:hAnsi="宋体" w:cs="宋体"/>
          <w:kern w:val="0"/>
          <w:sz w:val="28"/>
          <w:szCs w:val="28"/>
        </w:rPr>
        <w:t>安徽省滁州市镇江路5号</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电  话：</w:t>
      </w:r>
      <w:r>
        <w:rPr>
          <w:rFonts w:ascii="宋体" w:hAnsi="宋体" w:cs="宋体"/>
          <w:sz w:val="28"/>
          <w:szCs w:val="28"/>
        </w:rPr>
        <w:t>0550</w:t>
      </w:r>
    </w:p>
    <w:p>
      <w:pPr>
        <w:spacing w:line="500" w:lineRule="exact"/>
        <w:ind w:firstLine="560" w:firstLineChars="200"/>
        <w:rPr>
          <w:rFonts w:ascii="宋体" w:hAnsi="宋体" w:cs="宋体"/>
          <w:color w:val="000000"/>
          <w:sz w:val="28"/>
          <w:szCs w:val="28"/>
        </w:rPr>
      </w:pPr>
      <w:r>
        <w:rPr>
          <w:rFonts w:hint="eastAsia" w:ascii="宋体" w:hAnsi="宋体" w:cs="宋体"/>
          <w:color w:val="000000"/>
          <w:kern w:val="0"/>
          <w:sz w:val="28"/>
          <w:szCs w:val="28"/>
        </w:rPr>
        <w:t>邮  编：2</w:t>
      </w:r>
      <w:r>
        <w:rPr>
          <w:rFonts w:ascii="宋体" w:hAnsi="宋体" w:cs="宋体"/>
          <w:color w:val="000000"/>
          <w:kern w:val="0"/>
          <w:sz w:val="28"/>
          <w:szCs w:val="28"/>
        </w:rPr>
        <w:t>39000</w:t>
      </w:r>
    </w:p>
    <w:p>
      <w:pPr>
        <w:tabs>
          <w:tab w:val="center" w:pos="6860"/>
          <w:tab w:val="right" w:pos="9429"/>
        </w:tabs>
        <w:ind w:firstLine="468"/>
        <w:rPr>
          <w:rFonts w:ascii="宋体" w:hAnsi="宋体"/>
          <w:sz w:val="28"/>
          <w:szCs w:val="28"/>
        </w:rPr>
      </w:pPr>
    </w:p>
    <w:p>
      <w:pPr>
        <w:spacing w:line="360" w:lineRule="auto"/>
        <w:rPr>
          <w:rFonts w:ascii="宋体" w:hAnsi="宋体"/>
          <w:b/>
          <w:sz w:val="32"/>
          <w:szCs w:val="32"/>
        </w:rPr>
      </w:pPr>
    </w:p>
    <w:p>
      <w:pPr>
        <w:spacing w:line="276" w:lineRule="auto"/>
        <w:rPr>
          <w:rFonts w:ascii="宋体" w:hAnsi="宋体"/>
          <w:szCs w:val="24"/>
        </w:rPr>
      </w:pPr>
    </w:p>
    <w:p>
      <w:pPr>
        <w:spacing w:line="360" w:lineRule="auto"/>
        <w:ind w:firstLine="480" w:firstLineChars="200"/>
        <w:jc w:val="both"/>
        <w:rPr>
          <w:rFonts w:ascii="宋体" w:hAnsi="宋体"/>
          <w:szCs w:val="24"/>
        </w:rPr>
      </w:pPr>
    </w:p>
    <w:p>
      <w:pPr>
        <w:spacing w:line="360" w:lineRule="auto"/>
        <w:ind w:firstLine="480" w:firstLineChars="200"/>
        <w:jc w:val="both"/>
        <w:rPr>
          <w:rFonts w:ascii="宋体" w:hAnsi="宋体" w:cs="宋体"/>
        </w:rPr>
      </w:pPr>
    </w:p>
    <w:p>
      <w:pPr>
        <w:spacing w:line="360" w:lineRule="auto"/>
        <w:ind w:firstLine="480" w:firstLineChars="200"/>
        <w:jc w:val="both"/>
        <w:rPr>
          <w:rFonts w:ascii="宋体" w:hAnsi="宋体" w:cs="宋体"/>
        </w:rPr>
      </w:pPr>
    </w:p>
    <w:p>
      <w:pPr>
        <w:spacing w:line="360" w:lineRule="auto"/>
        <w:ind w:firstLine="480" w:firstLineChars="200"/>
        <w:jc w:val="both"/>
        <w:rPr>
          <w:rFonts w:ascii="宋体" w:hAnsi="宋体" w:cs="宋体"/>
        </w:rPr>
      </w:pPr>
    </w:p>
    <w:p>
      <w:pPr>
        <w:spacing w:line="360" w:lineRule="auto"/>
        <w:ind w:firstLine="2650" w:firstLineChars="600"/>
        <w:jc w:val="both"/>
        <w:rPr>
          <w:rFonts w:ascii="宋体" w:hAnsi="宋体" w:cs="宋体"/>
          <w:b/>
          <w:sz w:val="44"/>
          <w:szCs w:val="44"/>
        </w:rPr>
      </w:pPr>
    </w:p>
    <w:p>
      <w:pPr>
        <w:spacing w:line="360" w:lineRule="auto"/>
        <w:ind w:firstLine="2650" w:firstLineChars="600"/>
        <w:jc w:val="both"/>
        <w:rPr>
          <w:rFonts w:ascii="宋体" w:hAnsi="宋体" w:cs="宋体"/>
          <w:b/>
          <w:sz w:val="44"/>
          <w:szCs w:val="44"/>
        </w:rPr>
      </w:pPr>
    </w:p>
    <w:p>
      <w:pPr>
        <w:spacing w:line="360" w:lineRule="auto"/>
        <w:ind w:firstLine="2650" w:firstLineChars="600"/>
        <w:jc w:val="both"/>
        <w:rPr>
          <w:rFonts w:ascii="宋体" w:hAnsi="宋体" w:cs="宋体"/>
          <w:b/>
          <w:sz w:val="44"/>
          <w:szCs w:val="44"/>
        </w:rPr>
      </w:pPr>
    </w:p>
    <w:p>
      <w:pPr>
        <w:spacing w:line="360" w:lineRule="auto"/>
        <w:ind w:firstLine="2650" w:firstLineChars="600"/>
        <w:jc w:val="both"/>
        <w:rPr>
          <w:rFonts w:ascii="宋体" w:hAnsi="宋体" w:cs="宋体"/>
          <w:b/>
          <w:sz w:val="44"/>
          <w:szCs w:val="44"/>
        </w:rPr>
      </w:pPr>
    </w:p>
    <w:p>
      <w:pPr>
        <w:spacing w:line="360" w:lineRule="auto"/>
        <w:ind w:firstLine="2650" w:firstLineChars="600"/>
        <w:jc w:val="both"/>
        <w:rPr>
          <w:rFonts w:ascii="宋体" w:hAnsi="宋体" w:cs="宋体"/>
          <w:b/>
          <w:sz w:val="44"/>
          <w:szCs w:val="44"/>
        </w:rPr>
      </w:pPr>
    </w:p>
    <w:p>
      <w:pPr>
        <w:spacing w:line="360" w:lineRule="auto"/>
        <w:ind w:firstLine="2650" w:firstLineChars="600"/>
        <w:jc w:val="both"/>
        <w:rPr>
          <w:rFonts w:ascii="宋体" w:hAnsi="宋体" w:cs="宋体"/>
          <w:b/>
          <w:sz w:val="44"/>
          <w:szCs w:val="44"/>
        </w:rPr>
      </w:pPr>
    </w:p>
    <w:p>
      <w:pPr>
        <w:spacing w:line="360" w:lineRule="auto"/>
        <w:jc w:val="both"/>
        <w:rPr>
          <w:rFonts w:ascii="宋体" w:hAnsi="宋体" w:cs="宋体"/>
        </w:rPr>
      </w:pPr>
    </w:p>
    <w:p>
      <w:pPr>
        <w:spacing w:line="360" w:lineRule="auto"/>
        <w:ind w:firstLine="880" w:firstLineChars="200"/>
        <w:jc w:val="both"/>
        <w:rPr>
          <w:rFonts w:eastAsia="黑体"/>
          <w:sz w:val="44"/>
          <w:szCs w:val="44"/>
        </w:rPr>
      </w:pPr>
      <w:r>
        <w:rPr>
          <w:rFonts w:eastAsia="黑体"/>
          <w:sz w:val="44"/>
          <w:szCs w:val="44"/>
        </w:rPr>
        <w:t>公司质量管理组织结构</w:t>
      </w:r>
    </w:p>
    <w:p>
      <w:pPr>
        <w:spacing w:line="360" w:lineRule="auto"/>
        <w:ind w:firstLine="5320" w:firstLineChars="1900"/>
        <w:rPr>
          <w:bCs/>
          <w:sz w:val="28"/>
        </w:rPr>
      </w:pPr>
    </w:p>
    <w:p>
      <w:pPr>
        <w:spacing w:line="360" w:lineRule="auto"/>
        <w:ind w:firstLine="5320" w:firstLineChars="1900"/>
        <w:rPr>
          <w:sz w:val="28"/>
          <w:szCs w:val="28"/>
          <w:highlight w:val="yellow"/>
        </w:rPr>
      </w:pPr>
      <w:r>
        <w:rPr>
          <w:bCs/>
          <w:sz w:val="28"/>
          <w:highlight w:val="yellow"/>
        </w:rPr>
        <w:pict>
          <v:shape id="_x0000_s1026" o:spid="_x0000_s1026" o:spt="202" type="#_x0000_t202" style="position:absolute;left:0pt;margin-left:127.2pt;margin-top:0.25pt;height:25.8pt;width:76.2pt;z-index:251659264;mso-width-relative:page;mso-height-relative:page;" coordsize="21600,21600" o:gfxdata="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Qx2DtQAAAAHAQAADwAAAAAAAAABACAAAAAiAAAAZHJzL2Rv&#10;d25yZXYueG1sUEsBAhQAFAAAAAgAh07iQO73hSI+AgAAagQAAA4AAAAAAAAAAQAgAAAAIwEAAGRy&#10;cy9lMm9Eb2MueG1sUEsFBgAAAAAGAAYAWQEAANMFAAAAAA==&#10;">
            <v:path/>
            <v:fill focussize="0,0"/>
            <v:stroke weight="0.5pt" joinstyle="round"/>
            <v:imagedata o:title=""/>
            <o:lock v:ext="edit"/>
            <v:textbox>
              <w:txbxContent>
                <w:p>
                  <w:pPr>
                    <w:ind w:firstLine="281" w:firstLineChars="100"/>
                    <w:rPr>
                      <w:b/>
                      <w:sz w:val="28"/>
                      <w:szCs w:val="28"/>
                    </w:rPr>
                  </w:pPr>
                  <w:r>
                    <w:rPr>
                      <w:rFonts w:hint="eastAsia"/>
                      <w:b/>
                      <w:sz w:val="28"/>
                      <w:szCs w:val="28"/>
                    </w:rPr>
                    <w:t>总经理</w:t>
                  </w:r>
                </w:p>
              </w:txbxContent>
            </v:textbox>
          </v:shape>
        </w:pict>
      </w:r>
    </w:p>
    <w:p>
      <w:pPr>
        <w:spacing w:line="360" w:lineRule="auto"/>
        <w:ind w:firstLine="5320" w:firstLineChars="1900"/>
        <w:rPr>
          <w:sz w:val="28"/>
          <w:szCs w:val="28"/>
          <w:highlight w:val="yellow"/>
        </w:rPr>
      </w:pPr>
      <w:r>
        <w:rPr>
          <w:sz w:val="28"/>
          <w:szCs w:val="28"/>
        </w:rPr>
        <w:pict>
          <v:shape id="_x0000_s1037" o:spid="_x0000_s1037" o:spt="32" type="#_x0000_t32" style="position:absolute;left:0pt;flip:x;margin-left:165.6pt;margin-top:1.9pt;height:61.45pt;width:0.6pt;z-index:251671552;mso-width-relative:page;mso-height-relative:page;" o:connectortype="straight" filled="f" coordsize="21600,21600">
            <v:path arrowok="t"/>
            <v:fill on="f" focussize="0,0"/>
            <v:stroke/>
            <v:imagedata o:title=""/>
            <o:lock v:ext="edit"/>
          </v:shape>
        </w:pict>
      </w:r>
    </w:p>
    <w:p>
      <w:pPr>
        <w:spacing w:line="360" w:lineRule="auto"/>
        <w:ind w:firstLine="5320" w:firstLineChars="1900"/>
        <w:rPr>
          <w:sz w:val="28"/>
          <w:szCs w:val="28"/>
          <w:highlight w:val="yellow"/>
        </w:rPr>
      </w:pPr>
    </w:p>
    <w:p>
      <w:pPr>
        <w:spacing w:line="360" w:lineRule="auto"/>
        <w:ind w:firstLine="5320" w:firstLineChars="1900"/>
        <w:rPr>
          <w:sz w:val="28"/>
          <w:szCs w:val="28"/>
          <w:highlight w:val="yellow"/>
        </w:rPr>
      </w:pPr>
      <w:r>
        <w:rPr>
          <w:sz w:val="28"/>
          <w:szCs w:val="28"/>
          <w:highlight w:val="yellow"/>
        </w:rPr>
        <w:pict>
          <v:shape id="_x0000_s1031" o:spid="_x0000_s1031" o:spt="32" type="#_x0000_t32" style="position:absolute;left:0pt;margin-left:165.6pt;margin-top:16pt;height:29.4pt;width:0pt;z-index:251669504;mso-width-relative:page;mso-height-relative:page;" filled="f" coordsize="21600,21600" o:gfxdata="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we7zNUA&#10;AAAJAQAADwAAAAAAAAABACAAAAAiAAAAZHJzL2Rvd25yZXYueG1sUEsBAhQAFAAAAAgAh07iQBUu&#10;3QbpAQAAlAMAAA4AAAAAAAAAAQAgAAAAJAEAAGRycy9lMm9Eb2MueG1sUEsFBgAAAAAGAAYAWQEA&#10;AH8FAAAAAA==&#10;">
            <v:path arrowok="t"/>
            <v:fill on="f" focussize="0,0"/>
            <v:stroke weight="0.5pt" joinstyle="miter" endarrow="block"/>
            <v:imagedata o:title=""/>
            <o:lock v:ext="edit"/>
          </v:shape>
        </w:pict>
      </w:r>
      <w:r>
        <w:rPr>
          <w:sz w:val="28"/>
          <w:szCs w:val="28"/>
          <w:highlight w:val="yellow"/>
        </w:rPr>
        <w:pict>
          <v:shape id="_x0000_s1032" o:spid="_x0000_s1032" o:spt="32" type="#_x0000_t32" style="position:absolute;left:0pt;margin-left:260.4pt;margin-top:15.05pt;height:25.8pt;width:0.6pt;z-index:251670528;mso-width-relative:page;mso-height-relative:page;" filled="f" coordsize="21600,21600" o:gfxdata="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fS&#10;fAHWAAAACQEAAA8AAAAAAAAAAQAgAAAAIgAAAGRycy9kb3ducmV2LnhtbFBLAQIUABQAAAAIAIdO&#10;4kDTwkCQ7AEAAJcDAAAOAAAAAAAAAAEAIAAAACUBAABkcnMvZTJvRG9jLnhtbFBLBQYAAAAABgAG&#10;AFkBAACDBQAAAAA=&#10;">
            <v:path arrowok="t"/>
            <v:fill on="f" focussize="0,0"/>
            <v:stroke weight="0.5pt" joinstyle="miter" endarrow="block"/>
            <v:imagedata o:title=""/>
            <o:lock v:ext="edit"/>
          </v:shape>
        </w:pict>
      </w:r>
      <w:r>
        <w:rPr>
          <w:sz w:val="28"/>
          <w:szCs w:val="28"/>
          <w:highlight w:val="yellow"/>
        </w:rPr>
        <w:pict>
          <v:line id="_x0000_s1033" o:spid="_x0000_s1033" o:spt="20" style="position:absolute;left:0pt;flip:y;margin-left:84.6pt;margin-top:14.45pt;height:0.6pt;width:174.6pt;z-index:251665408;mso-width-relative:page;mso-height-relative:page;" coordsize="21600,21600" o:gfxdata="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2p5tcAAAAJAQAADwAAAAAAAAABACAAAAAi&#10;AAAAZHJzL2Rvd25yZXYueG1sUEsBAhQAFAAAAAgAh07iQOxAQIvSAQAAcgMAAA4AAAAAAAAAAQAg&#10;AAAAJgEAAGRycy9lMm9Eb2MueG1sUEsFBgAAAAAGAAYAWQEAAGoFAAAAAA==&#10;">
            <v:path arrowok="t"/>
            <v:fill focussize="0,0"/>
            <v:stroke weight="0.5pt" joinstyle="miter"/>
            <v:imagedata o:title=""/>
            <o:lock v:ext="edit"/>
          </v:line>
        </w:pict>
      </w:r>
      <w:r>
        <w:rPr>
          <w:sz w:val="28"/>
          <w:szCs w:val="28"/>
          <w:highlight w:val="yellow"/>
        </w:rPr>
        <w:pict>
          <v:shape id="_x0000_s1030" o:spid="_x0000_s1030" o:spt="32" type="#_x0000_t32" style="position:absolute;left:0pt;margin-left:84.6pt;margin-top:17.8pt;height:28.2pt;width:0pt;z-index:251668480;mso-width-relative:page;mso-height-relative:page;" filled="f" coordsize="21600,21600" o:gfxdata="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9gCTV&#10;AAAACQEAAA8AAAAAAAAAAQAgAAAAIgAAAGRycy9kb3ducmV2LnhtbFBLAQIUABQAAAAIAIdO4kDd&#10;OXlX6gEAAJQDAAAOAAAAAAAAAAEAIAAAACQBAABkcnMvZTJvRG9jLnhtbFBLBQYAAAAABgAGAFkB&#10;AACABQAAAAA=&#10;">
            <v:path arrowok="t"/>
            <v:fill on="f" focussize="0,0"/>
            <v:stroke weight="0.5pt" joinstyle="miter" endarrow="block"/>
            <v:imagedata o:title=""/>
            <o:lock v:ext="edit"/>
          </v:shape>
        </w:pict>
      </w:r>
    </w:p>
    <w:p>
      <w:pPr>
        <w:spacing w:line="360" w:lineRule="auto"/>
        <w:ind w:firstLine="5320" w:firstLineChars="1900"/>
        <w:rPr>
          <w:sz w:val="28"/>
          <w:szCs w:val="28"/>
          <w:highlight w:val="yellow"/>
        </w:rPr>
      </w:pPr>
      <w:r>
        <w:rPr>
          <w:sz w:val="28"/>
          <w:szCs w:val="28"/>
          <w:highlight w:val="yellow"/>
        </w:rPr>
        <w:pict>
          <v:shape id="_x0000_s1029" o:spid="_x0000_s1029" o:spt="202" type="#_x0000_t202" style="position:absolute;left:0pt;margin-left:141.6pt;margin-top:20.45pt;height:31.8pt;width:56.4pt;z-index:251661312;mso-width-relative:page;mso-height-relative:page;" coordsize="21600,21600" o:gfxdata="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Ue2O3XAAAACgEAAA8AAAAAAAAAAQAgAAAAIgAAAGRy&#10;cy9kb3ducmV2LnhtbFBLAQIUABQAAAAIAIdO4kAEmb/SPwIAAGoEAAAOAAAAAAAAAAEAIAAAACYB&#10;AABkcnMvZTJvRG9jLnhtbFBLBQYAAAAABgAGAFkBAADXBQAAAAA=&#10;">
            <v:path/>
            <v:fill focussize="0,0"/>
            <v:stroke weight="0.5pt" joinstyle="round"/>
            <v:imagedata o:title=""/>
            <o:lock v:ext="edit"/>
            <v:textbox>
              <w:txbxContent>
                <w:p>
                  <w:pPr>
                    <w:rPr>
                      <w:b/>
                    </w:rPr>
                  </w:pPr>
                  <w:r>
                    <w:rPr>
                      <w:rFonts w:hint="eastAsia"/>
                      <w:b/>
                    </w:rPr>
                    <w:t>供销部</w:t>
                  </w:r>
                </w:p>
              </w:txbxContent>
            </v:textbox>
          </v:shape>
        </w:pict>
      </w:r>
      <w:r>
        <w:rPr>
          <w:sz w:val="28"/>
          <w:szCs w:val="28"/>
          <w:highlight w:val="yellow"/>
        </w:rPr>
        <w:pict>
          <v:shape id="_x0000_s1028" o:spid="_x0000_s1028" o:spt="202" type="#_x0000_t202" style="position:absolute;left:0pt;margin-left:224.4pt;margin-top:19.45pt;height:30pt;width:71.4pt;z-index:251662336;mso-width-relative:page;mso-height-relative:page;" coordsize="21600,21600" o:gfxdata="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KV7yXXAAAACQEAAA8AAAAAAAAAAQAgAAAAIgAAAGRy&#10;cy9kb3ducmV2LnhtbFBLAQIUABQAAAAIAIdO4kAaflgePwIAAGoEAAAOAAAAAAAAAAEAIAAAACYB&#10;AABkcnMvZTJvRG9jLnhtbFBLBQYAAAAABgAGAFkBAADXBQAAAAA=&#10;">
            <v:path/>
            <v:fill focussize="0,0"/>
            <v:stroke weight="0.5pt" joinstyle="round"/>
            <v:imagedata o:title=""/>
            <o:lock v:ext="edit"/>
            <v:textbox>
              <w:txbxContent>
                <w:p>
                  <w:pPr>
                    <w:rPr>
                      <w:b/>
                    </w:rPr>
                  </w:pPr>
                  <w:r>
                    <w:rPr>
                      <w:rFonts w:hint="eastAsia"/>
                      <w:b/>
                    </w:rPr>
                    <w:t>项目部</w:t>
                  </w:r>
                </w:p>
              </w:txbxContent>
            </v:textbox>
          </v:shape>
        </w:pict>
      </w:r>
      <w:r>
        <w:rPr>
          <w:sz w:val="28"/>
          <w:szCs w:val="28"/>
          <w:highlight w:val="yellow"/>
        </w:rPr>
        <w:pict>
          <v:shape id="_x0000_s1027" o:spid="_x0000_s1027" o:spt="202" type="#_x0000_t202" style="position:absolute;left:0pt;margin-left:46.2pt;margin-top:20.65pt;height:32.4pt;width:64.2pt;z-index:251660288;mso-width-relative:page;mso-height-relative:page;" coordsize="21600,21600" o:gfxdata="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i0p5bVAAAACQEAAA8AAAAAAAAAAQAgAAAAIgAAAGRycy9k&#10;b3ducmV2LnhtbFBLAQIUABQAAAAIAIdO4kDkWP8pPgIAAGoEAAAOAAAAAAAAAAEAIAAAACQBAABk&#10;cnMvZTJvRG9jLnhtbFBLBQYAAAAABgAGAFkBAADUBQAAAAA=&#10;">
            <v:path/>
            <v:fill focussize="0,0"/>
            <v:stroke weight="0.5pt" joinstyle="round"/>
            <v:imagedata o:title=""/>
            <o:lock v:ext="edit"/>
            <v:textbox>
              <w:txbxContent>
                <w:p>
                  <w:pPr>
                    <w:rPr>
                      <w:b/>
                    </w:rPr>
                  </w:pPr>
                  <w:r>
                    <w:rPr>
                      <w:rFonts w:hint="eastAsia"/>
                      <w:b/>
                    </w:rPr>
                    <w:t>办公室</w:t>
                  </w:r>
                </w:p>
              </w:txbxContent>
            </v:textbox>
          </v:shape>
        </w:pict>
      </w:r>
    </w:p>
    <w:p>
      <w:pPr>
        <w:spacing w:line="360" w:lineRule="auto"/>
        <w:ind w:firstLine="5320" w:firstLineChars="1900"/>
        <w:rPr>
          <w:sz w:val="28"/>
          <w:szCs w:val="28"/>
          <w:highlight w:val="yellow"/>
        </w:rPr>
      </w:pPr>
    </w:p>
    <w:p>
      <w:pPr>
        <w:spacing w:line="360" w:lineRule="auto"/>
        <w:ind w:firstLine="5320" w:firstLineChars="1900"/>
        <w:rPr>
          <w:sz w:val="28"/>
          <w:szCs w:val="28"/>
          <w:highlight w:val="yellow"/>
        </w:rPr>
      </w:pPr>
    </w:p>
    <w:p>
      <w:pPr>
        <w:spacing w:line="360" w:lineRule="auto"/>
        <w:rPr>
          <w:sz w:val="28"/>
        </w:rPr>
      </w:pPr>
    </w:p>
    <w:p>
      <w:pPr>
        <w:spacing w:line="360" w:lineRule="auto"/>
        <w:rPr>
          <w:szCs w:val="24"/>
        </w:rPr>
      </w:pPr>
      <w:r>
        <w:rPr>
          <w:rFonts w:hint="eastAsia"/>
          <w:color w:val="FF0000"/>
          <w:sz w:val="28"/>
        </w:rPr>
        <w:t xml:space="preserve"> </w:t>
      </w:r>
      <w:r>
        <w:rPr>
          <w:sz w:val="28"/>
        </w:rPr>
        <w:br w:type="page"/>
      </w:r>
      <w:r>
        <w:rPr>
          <w:rFonts w:hint="eastAsia"/>
          <w:b/>
          <w:bCs/>
          <w:szCs w:val="24"/>
        </w:rPr>
        <w:t>1 范围</w:t>
      </w:r>
    </w:p>
    <w:p>
      <w:pPr>
        <w:spacing w:line="360" w:lineRule="auto"/>
        <w:rPr>
          <w:szCs w:val="24"/>
        </w:rPr>
      </w:pPr>
      <w:r>
        <w:rPr>
          <w:rFonts w:hint="eastAsia"/>
          <w:szCs w:val="24"/>
        </w:rPr>
        <w:t>1.1应用范围</w:t>
      </w:r>
    </w:p>
    <w:p>
      <w:pPr>
        <w:spacing w:line="360" w:lineRule="auto"/>
        <w:rPr>
          <w:szCs w:val="24"/>
        </w:rPr>
      </w:pPr>
      <w:r>
        <w:rPr>
          <w:rFonts w:hint="eastAsia"/>
          <w:szCs w:val="24"/>
        </w:rPr>
        <w:t>1）建立质量体系的目的在于通过对管理体系的有效应用，以证实公司有能力稳定地提供满足相关方与适用的法律法规要求的产品和服务，并通过管理体系的持续改进增进相关方满意。</w:t>
      </w:r>
    </w:p>
    <w:p>
      <w:pPr>
        <w:spacing w:line="360" w:lineRule="auto"/>
        <w:rPr>
          <w:szCs w:val="24"/>
        </w:rPr>
      </w:pPr>
      <w:r>
        <w:rPr>
          <w:rFonts w:hint="eastAsia"/>
          <w:szCs w:val="24"/>
        </w:rPr>
        <w:t>本公司质量管理体系包括各职能部门和部门负责的覆盖产品/服务实现的过程和支持过程，制定本手册是为全公司有关质量管理活动提供依据和准则；</w:t>
      </w:r>
    </w:p>
    <w:p>
      <w:pPr>
        <w:spacing w:line="360" w:lineRule="auto"/>
        <w:rPr>
          <w:szCs w:val="24"/>
        </w:rPr>
      </w:pPr>
      <w:r>
        <w:rPr>
          <w:rFonts w:hint="eastAsia"/>
          <w:szCs w:val="24"/>
        </w:rPr>
        <w:t>2）本手册为公司各级部门编制程序文件和其它层次的质量文件提供框架；</w:t>
      </w:r>
    </w:p>
    <w:p>
      <w:pPr>
        <w:spacing w:line="360" w:lineRule="auto"/>
        <w:rPr>
          <w:szCs w:val="24"/>
        </w:rPr>
      </w:pPr>
      <w:r>
        <w:rPr>
          <w:rFonts w:hint="eastAsia"/>
          <w:szCs w:val="24"/>
        </w:rPr>
        <w:t>3）本手册描述了公司质量管理体系过程的相互联系和相互作用；</w:t>
      </w:r>
    </w:p>
    <w:p>
      <w:pPr>
        <w:spacing w:line="360" w:lineRule="auto"/>
        <w:rPr>
          <w:szCs w:val="24"/>
        </w:rPr>
      </w:pPr>
      <w:r>
        <w:rPr>
          <w:rFonts w:hint="eastAsia"/>
          <w:szCs w:val="24"/>
        </w:rPr>
        <w:t>4）本手册为内部审核及第二方对公司质量保证能力和第三方对公司质量管理体系的评定提供依据，同时应作为员工质量管理法规性培训教材；</w:t>
      </w:r>
    </w:p>
    <w:p>
      <w:pPr>
        <w:spacing w:line="360" w:lineRule="auto"/>
        <w:rPr>
          <w:szCs w:val="24"/>
        </w:rPr>
      </w:pPr>
      <w:r>
        <w:rPr>
          <w:rFonts w:hint="eastAsia"/>
          <w:szCs w:val="24"/>
        </w:rPr>
        <w:t>5）保证质量管理体系满足顾客要求，并持续改进；</w:t>
      </w:r>
    </w:p>
    <w:p>
      <w:pPr>
        <w:spacing w:line="360" w:lineRule="auto"/>
        <w:rPr>
          <w:szCs w:val="24"/>
        </w:rPr>
      </w:pPr>
      <w:r>
        <w:rPr>
          <w:rFonts w:hint="eastAsia"/>
          <w:szCs w:val="24"/>
        </w:rPr>
        <w:t>6）以及其它不限于上述条款的但可适用公司质量管理要求的目的和作用。</w:t>
      </w:r>
    </w:p>
    <w:p>
      <w:pPr>
        <w:spacing w:line="360" w:lineRule="auto"/>
        <w:rPr>
          <w:rFonts w:ascii="宋体" w:hAnsi="宋体" w:cs="宋体"/>
          <w:color w:val="000000" w:themeColor="text1"/>
          <w:kern w:val="0"/>
        </w:rPr>
      </w:pPr>
      <w:r>
        <w:rPr>
          <w:rFonts w:hint="eastAsia"/>
          <w:szCs w:val="24"/>
        </w:rPr>
        <w:t>1.2范围：</w:t>
      </w:r>
      <w:r>
        <w:rPr>
          <w:rFonts w:hint="eastAsia" w:ascii="宋体" w:hAnsi="宋体" w:cs="宋体"/>
          <w:color w:val="000000" w:themeColor="text1"/>
          <w:kern w:val="0"/>
        </w:rPr>
        <w:t>光电材料、半导体、光伏电子产业的设备维修</w:t>
      </w:r>
    </w:p>
    <w:p>
      <w:pPr>
        <w:spacing w:line="360" w:lineRule="auto"/>
      </w:pPr>
      <w:r>
        <w:rPr>
          <w:rFonts w:hint="eastAsia"/>
        </w:rPr>
        <w:t xml:space="preserve">1.3. </w:t>
      </w:r>
      <w:r>
        <w:t>GB/T19001—2016</w:t>
      </w:r>
      <w:r>
        <w:rPr>
          <w:rFonts w:hint="eastAsia"/>
        </w:rPr>
        <w:t>《质量管理体系 要求》标准条款除8.3条款，不适用8.3条款。</w:t>
      </w:r>
    </w:p>
    <w:p>
      <w:pPr>
        <w:spacing w:line="360" w:lineRule="auto"/>
      </w:pPr>
      <w:r>
        <w:rPr>
          <w:rFonts w:hint="eastAsia"/>
        </w:rPr>
        <w:t>1.4. 不适用条款的说明</w:t>
      </w:r>
    </w:p>
    <w:p>
      <w:pPr>
        <w:spacing w:line="360" w:lineRule="auto"/>
        <w:rPr>
          <w:bCs/>
        </w:rPr>
      </w:pPr>
      <w:r>
        <w:rPr>
          <w:rFonts w:hint="eastAsia"/>
        </w:rPr>
        <w:t>由于本公司光电材料、半导体、光伏电子产业的设备维修是依据国家/行业标准/顾客要求／图纸进行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Pr>
          <w:rFonts w:hint="eastAsia"/>
          <w:bCs/>
        </w:rPr>
        <w:t>。</w:t>
      </w:r>
    </w:p>
    <w:p>
      <w:pPr>
        <w:spacing w:line="360" w:lineRule="auto"/>
        <w:rPr>
          <w:szCs w:val="24"/>
        </w:rPr>
      </w:pPr>
      <w:r>
        <w:rPr>
          <w:rFonts w:hint="eastAsia"/>
          <w:bCs/>
        </w:rPr>
        <w:t>1.5本手册描述了GB/T19001—2016《质量管理体系 要求》标准中除8.3设计与开发（不适用）的所有条款和过程。</w:t>
      </w:r>
    </w:p>
    <w:p>
      <w:pPr>
        <w:spacing w:line="360" w:lineRule="auto"/>
        <w:rPr>
          <w:b/>
          <w:bCs/>
          <w:szCs w:val="24"/>
        </w:rPr>
      </w:pPr>
      <w:r>
        <w:rPr>
          <w:rFonts w:hint="eastAsia"/>
          <w:b/>
          <w:bCs/>
          <w:szCs w:val="24"/>
        </w:rPr>
        <w:t>2 规范性引用文件</w:t>
      </w:r>
    </w:p>
    <w:p>
      <w:pPr>
        <w:spacing w:line="360" w:lineRule="auto"/>
        <w:rPr>
          <w:szCs w:val="24"/>
        </w:rPr>
      </w:pPr>
      <w:r>
        <w:rPr>
          <w:rFonts w:hint="eastAsia"/>
          <w:szCs w:val="24"/>
        </w:rPr>
        <w:t xml:space="preserve"> 2.1《质量管理体系  基础和术语》ISO9000：2015</w:t>
      </w:r>
    </w:p>
    <w:p>
      <w:pPr>
        <w:spacing w:line="360" w:lineRule="auto"/>
        <w:rPr>
          <w:szCs w:val="24"/>
        </w:rPr>
      </w:pPr>
      <w:r>
        <w:rPr>
          <w:rFonts w:hint="eastAsia"/>
          <w:szCs w:val="24"/>
        </w:rPr>
        <w:t xml:space="preserve"> 2.2《质量管理体系  要求》ISO9001：2015</w:t>
      </w:r>
    </w:p>
    <w:p>
      <w:pPr>
        <w:spacing w:line="360" w:lineRule="auto"/>
        <w:ind w:firstLine="480" w:firstLineChars="200"/>
        <w:rPr>
          <w:szCs w:val="24"/>
        </w:rPr>
      </w:pPr>
      <w:r>
        <w:rPr>
          <w:rFonts w:hint="eastAsia"/>
          <w:szCs w:val="24"/>
        </w:rPr>
        <w:t>顾客要求、法律法规等要求，均按“文件控制”的要求执行。为确保其有效性，</w:t>
      </w:r>
      <w:r>
        <w:rPr>
          <w:rFonts w:hint="eastAsia"/>
          <w:b/>
          <w:szCs w:val="24"/>
        </w:rPr>
        <w:t>办公室</w:t>
      </w:r>
      <w:r>
        <w:rPr>
          <w:rFonts w:hint="eastAsia"/>
          <w:szCs w:val="24"/>
        </w:rPr>
        <w:t>应负责跟踪其修订状况，及时获得有效文件。</w:t>
      </w:r>
    </w:p>
    <w:p>
      <w:pPr>
        <w:spacing w:line="360" w:lineRule="auto"/>
        <w:rPr>
          <w:szCs w:val="24"/>
        </w:rPr>
      </w:pPr>
      <w:r>
        <w:rPr>
          <w:rFonts w:hint="eastAsia"/>
          <w:b/>
          <w:bCs/>
          <w:szCs w:val="24"/>
        </w:rPr>
        <w:t>3 术语和定义</w:t>
      </w:r>
    </w:p>
    <w:p>
      <w:pPr>
        <w:spacing w:line="360" w:lineRule="auto"/>
        <w:rPr>
          <w:szCs w:val="24"/>
        </w:rPr>
      </w:pPr>
      <w:r>
        <w:rPr>
          <w:rFonts w:hint="eastAsia"/>
          <w:szCs w:val="24"/>
        </w:rPr>
        <w:t>本《质量手册》采用</w:t>
      </w:r>
      <w:r>
        <w:rPr>
          <w:szCs w:val="24"/>
        </w:rPr>
        <w:t>ISO9000:</w:t>
      </w:r>
      <w:r>
        <w:rPr>
          <w:rFonts w:hint="eastAsia"/>
          <w:szCs w:val="24"/>
        </w:rPr>
        <w:t>2015《质量管理体系基础和术语》所确定的定义。</w:t>
      </w:r>
    </w:p>
    <w:p>
      <w:pPr>
        <w:spacing w:line="360" w:lineRule="auto"/>
        <w:rPr>
          <w:rFonts w:ascii="宋体" w:hAnsi="宋体"/>
          <w:b/>
          <w:szCs w:val="24"/>
        </w:rPr>
      </w:pPr>
      <w:r>
        <w:rPr>
          <w:rFonts w:hint="eastAsia" w:ascii="宋体" w:hAnsi="宋体"/>
          <w:b/>
          <w:szCs w:val="24"/>
        </w:rPr>
        <w:t>4.组织环境</w:t>
      </w:r>
    </w:p>
    <w:p>
      <w:pPr>
        <w:spacing w:line="360" w:lineRule="auto"/>
        <w:rPr>
          <w:rFonts w:ascii="宋体" w:hAnsi="宋体"/>
          <w:b/>
          <w:szCs w:val="24"/>
        </w:rPr>
      </w:pPr>
      <w:r>
        <w:rPr>
          <w:rFonts w:hint="eastAsia" w:ascii="宋体" w:hAnsi="宋体"/>
          <w:b/>
          <w:szCs w:val="24"/>
        </w:rPr>
        <w:t>4.1理解组织及其环境</w:t>
      </w:r>
    </w:p>
    <w:p>
      <w:pPr>
        <w:spacing w:line="360" w:lineRule="auto"/>
        <w:ind w:firstLine="480" w:firstLineChars="200"/>
        <w:rPr>
          <w:rFonts w:ascii="宋体" w:hAnsi="宋体"/>
          <w:szCs w:val="24"/>
        </w:rPr>
      </w:pPr>
      <w:r>
        <w:rPr>
          <w:rFonts w:hint="eastAsia" w:ascii="宋体" w:hAnsi="宋体"/>
          <w:szCs w:val="24"/>
        </w:rPr>
        <w:t xml:space="preserve"> 本公司根据</w:t>
      </w:r>
      <w:r>
        <w:rPr>
          <w:rFonts w:ascii="宋体" w:hAnsi="宋体"/>
          <w:szCs w:val="24"/>
        </w:rPr>
        <w:t>GB/T19001—2016</w:t>
      </w:r>
      <w:r>
        <w:rPr>
          <w:rFonts w:hint="eastAsia" w:ascii="宋体" w:hAnsi="宋体"/>
          <w:szCs w:val="24"/>
        </w:rPr>
        <w:t>《质量管理体系-要求》识别确定与公司的目标和战略方向相关且影响其实现质量管理体系预期结果的各种外部和内部因素，并对这些内部和外部因素相关的信息进行评价和评审。</w:t>
      </w:r>
    </w:p>
    <w:p>
      <w:pPr>
        <w:spacing w:line="360" w:lineRule="auto"/>
        <w:rPr>
          <w:rFonts w:ascii="宋体" w:hAnsi="宋体"/>
          <w:szCs w:val="24"/>
        </w:rPr>
      </w:pPr>
      <w:r>
        <w:rPr>
          <w:rFonts w:hint="eastAsia" w:ascii="宋体" w:hAnsi="宋体"/>
          <w:szCs w:val="24"/>
        </w:rPr>
        <w:t xml:space="preserve">     公司通过多种渠道来源获取内外部因素的信息，包括但不限于国家和国际新闻，网络报刊，行业协会等；确定与公司环境相关的内外部因素，包括但不限于以下内容：</w:t>
      </w:r>
    </w:p>
    <w:tbl>
      <w:tblPr>
        <w:tblStyle w:val="17"/>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9"/>
        <w:gridCol w:w="5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Pr>
          <w:p>
            <w:pPr>
              <w:spacing w:line="360" w:lineRule="auto"/>
              <w:rPr>
                <w:rFonts w:ascii="宋体" w:hAnsi="宋体"/>
                <w:szCs w:val="24"/>
              </w:rPr>
            </w:pPr>
            <w:r>
              <w:rPr>
                <w:rFonts w:hint="eastAsia" w:ascii="宋体" w:hAnsi="宋体"/>
                <w:szCs w:val="24"/>
              </w:rPr>
              <w:t>内部因素</w:t>
            </w:r>
          </w:p>
        </w:tc>
        <w:tc>
          <w:tcPr>
            <w:tcW w:w="5357" w:type="dxa"/>
          </w:tcPr>
          <w:p>
            <w:pPr>
              <w:spacing w:line="360" w:lineRule="auto"/>
              <w:rPr>
                <w:rFonts w:ascii="宋体" w:hAnsi="宋体"/>
                <w:szCs w:val="24"/>
              </w:rPr>
            </w:pPr>
            <w:r>
              <w:rPr>
                <w:rFonts w:hint="eastAsia" w:ascii="宋体" w:hAnsi="宋体"/>
                <w:szCs w:val="24"/>
              </w:rPr>
              <w:t>外部因素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Pr>
          <w:p>
            <w:pPr>
              <w:numPr>
                <w:ilvl w:val="0"/>
                <w:numId w:val="1"/>
              </w:numPr>
              <w:spacing w:line="360" w:lineRule="auto"/>
              <w:rPr>
                <w:rFonts w:ascii="宋体" w:hAnsi="宋体"/>
                <w:szCs w:val="24"/>
              </w:rPr>
            </w:pPr>
            <w:r>
              <w:rPr>
                <w:rFonts w:hint="eastAsia" w:ascii="宋体" w:hAnsi="宋体"/>
                <w:szCs w:val="24"/>
              </w:rPr>
              <w:t>组织总体表现，包括财务因素；</w:t>
            </w:r>
          </w:p>
          <w:p>
            <w:pPr>
              <w:numPr>
                <w:ilvl w:val="0"/>
                <w:numId w:val="1"/>
              </w:numPr>
              <w:spacing w:line="360" w:lineRule="auto"/>
              <w:rPr>
                <w:rFonts w:ascii="宋体" w:hAnsi="宋体"/>
                <w:szCs w:val="24"/>
              </w:rPr>
            </w:pPr>
            <w:r>
              <w:rPr>
                <w:rFonts w:hint="eastAsia" w:ascii="宋体" w:hAnsi="宋体"/>
                <w:szCs w:val="24"/>
              </w:rPr>
              <w:t>资源因素，包括基础设施，过程运行环境、组织的知识；</w:t>
            </w:r>
          </w:p>
          <w:p>
            <w:pPr>
              <w:numPr>
                <w:ilvl w:val="0"/>
                <w:numId w:val="1"/>
              </w:numPr>
              <w:spacing w:line="360" w:lineRule="auto"/>
              <w:rPr>
                <w:rFonts w:ascii="宋体" w:hAnsi="宋体"/>
                <w:szCs w:val="24"/>
              </w:rPr>
            </w:pPr>
            <w:r>
              <w:rPr>
                <w:rFonts w:hint="eastAsia" w:ascii="宋体" w:hAnsi="宋体"/>
                <w:szCs w:val="24"/>
              </w:rPr>
              <w:t>人力因素，例如人员能力，企业文化；</w:t>
            </w:r>
          </w:p>
          <w:p>
            <w:pPr>
              <w:numPr>
                <w:ilvl w:val="0"/>
                <w:numId w:val="1"/>
              </w:numPr>
              <w:spacing w:line="360" w:lineRule="auto"/>
              <w:rPr>
                <w:rFonts w:ascii="宋体" w:hAnsi="宋体"/>
                <w:szCs w:val="24"/>
              </w:rPr>
            </w:pPr>
            <w:r>
              <w:rPr>
                <w:rFonts w:hint="eastAsia" w:ascii="宋体" w:hAnsi="宋体"/>
                <w:szCs w:val="24"/>
              </w:rPr>
              <w:t>运营因素，例如过程、服务或交付能力，质量管理体系的绩效，顾客评价等</w:t>
            </w:r>
          </w:p>
          <w:p>
            <w:pPr>
              <w:numPr>
                <w:ilvl w:val="0"/>
                <w:numId w:val="1"/>
              </w:numPr>
              <w:spacing w:line="360" w:lineRule="auto"/>
              <w:rPr>
                <w:rFonts w:ascii="宋体" w:hAnsi="宋体"/>
                <w:szCs w:val="24"/>
              </w:rPr>
            </w:pPr>
            <w:r>
              <w:rPr>
                <w:rFonts w:hint="eastAsia" w:ascii="宋体" w:hAnsi="宋体"/>
                <w:szCs w:val="24"/>
              </w:rPr>
              <w:t>组织治理相关因素，如决策的规则及组织架构</w:t>
            </w:r>
          </w:p>
          <w:p>
            <w:pPr>
              <w:spacing w:line="360" w:lineRule="auto"/>
              <w:ind w:left="360"/>
              <w:rPr>
                <w:rFonts w:ascii="宋体" w:hAnsi="宋体"/>
                <w:szCs w:val="24"/>
              </w:rPr>
            </w:pPr>
            <w:r>
              <w:rPr>
                <w:rFonts w:ascii="宋体" w:hAnsi="宋体"/>
                <w:szCs w:val="24"/>
              </w:rPr>
              <w:t>…</w:t>
            </w:r>
          </w:p>
        </w:tc>
        <w:tc>
          <w:tcPr>
            <w:tcW w:w="5357" w:type="dxa"/>
          </w:tcPr>
          <w:p>
            <w:pPr>
              <w:numPr>
                <w:ilvl w:val="0"/>
                <w:numId w:val="2"/>
              </w:numPr>
              <w:spacing w:line="360" w:lineRule="auto"/>
              <w:rPr>
                <w:rFonts w:ascii="宋体" w:hAnsi="宋体"/>
                <w:szCs w:val="24"/>
              </w:rPr>
            </w:pPr>
            <w:r>
              <w:rPr>
                <w:rFonts w:hint="eastAsia" w:ascii="宋体" w:hAnsi="宋体"/>
                <w:szCs w:val="24"/>
              </w:rPr>
              <w:t>政治因素，包括政治稳定性，公共投入，本地基础设施，国际贸易协议；</w:t>
            </w:r>
          </w:p>
          <w:p>
            <w:pPr>
              <w:numPr>
                <w:ilvl w:val="0"/>
                <w:numId w:val="2"/>
              </w:numPr>
              <w:spacing w:line="360" w:lineRule="auto"/>
              <w:rPr>
                <w:rFonts w:ascii="宋体" w:hAnsi="宋体"/>
                <w:szCs w:val="24"/>
              </w:rPr>
            </w:pPr>
            <w:r>
              <w:rPr>
                <w:rFonts w:hint="eastAsia" w:ascii="宋体" w:hAnsi="宋体"/>
                <w:szCs w:val="24"/>
              </w:rPr>
              <w:t>技术因素，包括新领域科技，材料及设备，专利有效期，职业道德准则；</w:t>
            </w:r>
          </w:p>
          <w:p>
            <w:pPr>
              <w:numPr>
                <w:ilvl w:val="0"/>
                <w:numId w:val="2"/>
              </w:numPr>
              <w:spacing w:line="360" w:lineRule="auto"/>
              <w:rPr>
                <w:rFonts w:ascii="宋体" w:hAnsi="宋体"/>
                <w:szCs w:val="24"/>
              </w:rPr>
            </w:pPr>
            <w:r>
              <w:rPr>
                <w:rFonts w:hint="eastAsia" w:ascii="宋体" w:hAnsi="宋体"/>
                <w:szCs w:val="24"/>
              </w:rPr>
              <w:t>竞争力，包括组织市场占有率，相似或可替代产品及服务，市场领先者趋势，顾客增长趋势，市场稳定性；</w:t>
            </w:r>
          </w:p>
          <w:p>
            <w:pPr>
              <w:numPr>
                <w:ilvl w:val="0"/>
                <w:numId w:val="2"/>
              </w:numPr>
              <w:spacing w:line="360" w:lineRule="auto"/>
              <w:rPr>
                <w:rFonts w:ascii="宋体" w:hAnsi="宋体"/>
                <w:szCs w:val="24"/>
              </w:rPr>
            </w:pPr>
            <w:r>
              <w:rPr>
                <w:rFonts w:hint="eastAsia" w:ascii="宋体" w:hAnsi="宋体"/>
                <w:szCs w:val="24"/>
              </w:rPr>
              <w:t>影响工作环境的因素，包括法律法规要求，如环境法规、行为准则</w:t>
            </w:r>
          </w:p>
          <w:p>
            <w:pPr>
              <w:spacing w:line="360" w:lineRule="auto"/>
              <w:ind w:left="360"/>
              <w:rPr>
                <w:rFonts w:ascii="宋体" w:hAnsi="宋体"/>
                <w:szCs w:val="24"/>
              </w:rPr>
            </w:pPr>
            <w:r>
              <w:rPr>
                <w:rFonts w:ascii="宋体" w:hAnsi="宋体"/>
                <w:szCs w:val="24"/>
              </w:rPr>
              <w:t>…</w:t>
            </w:r>
          </w:p>
        </w:tc>
      </w:tr>
    </w:tbl>
    <w:p>
      <w:pPr>
        <w:spacing w:line="360" w:lineRule="auto"/>
        <w:rPr>
          <w:rFonts w:ascii="宋体" w:hAnsi="宋体"/>
          <w:szCs w:val="24"/>
        </w:rPr>
      </w:pPr>
      <w:r>
        <w:rPr>
          <w:rFonts w:hint="eastAsia" w:ascii="宋体" w:hAnsi="宋体"/>
          <w:szCs w:val="24"/>
        </w:rPr>
        <w:t xml:space="preserve">  由于组织环境的确定影响组织的目的、目标和可持续发展的各种因素，因此公司需要定期或不定期采用可行方法对这些因素进行分析，主要的分析方法有SWOT分析法、行业环境分析等。</w:t>
      </w:r>
    </w:p>
    <w:p>
      <w:pPr>
        <w:spacing w:line="360" w:lineRule="auto"/>
        <w:rPr>
          <w:rFonts w:ascii="宋体" w:hAnsi="宋体"/>
          <w:b/>
          <w:szCs w:val="24"/>
        </w:rPr>
      </w:pPr>
      <w:r>
        <w:rPr>
          <w:rFonts w:hint="eastAsia" w:ascii="宋体" w:hAnsi="宋体"/>
          <w:b/>
          <w:szCs w:val="24"/>
        </w:rPr>
        <w:t>4.2理解相关方的需求和期望</w:t>
      </w:r>
    </w:p>
    <w:p>
      <w:pPr>
        <w:spacing w:line="360" w:lineRule="auto"/>
        <w:ind w:left="2" w:firstLine="480" w:firstLineChars="200"/>
        <w:rPr>
          <w:rFonts w:ascii="宋体" w:hAnsi="宋体"/>
          <w:szCs w:val="24"/>
        </w:rPr>
      </w:pPr>
      <w:r>
        <w:rPr>
          <w:rFonts w:hint="eastAsia" w:ascii="宋体" w:hAnsi="宋体"/>
          <w:szCs w:val="24"/>
        </w:rPr>
        <w:t>由于相关方对公司提供符合顾客要求和适用法律法规要求的产品的能力产生影响，因此，公司确定以下要求：</w:t>
      </w:r>
    </w:p>
    <w:p>
      <w:pPr>
        <w:spacing w:line="360" w:lineRule="auto"/>
        <w:ind w:firstLine="480" w:firstLineChars="200"/>
        <w:rPr>
          <w:rFonts w:ascii="宋体" w:hAnsi="宋体"/>
          <w:szCs w:val="24"/>
        </w:rPr>
      </w:pPr>
      <w:r>
        <w:rPr>
          <w:rFonts w:hint="eastAsia" w:ascii="宋体" w:hAnsi="宋体"/>
          <w:szCs w:val="24"/>
        </w:rPr>
        <w:t>a）识别与质量管理体系有关的相关方；</w:t>
      </w:r>
    </w:p>
    <w:p>
      <w:pPr>
        <w:spacing w:line="360" w:lineRule="auto"/>
        <w:ind w:firstLine="480" w:firstLineChars="200"/>
        <w:rPr>
          <w:rFonts w:ascii="宋体" w:hAnsi="宋体"/>
          <w:szCs w:val="24"/>
        </w:rPr>
      </w:pPr>
      <w:r>
        <w:rPr>
          <w:rFonts w:hint="eastAsia" w:ascii="宋体" w:hAnsi="宋体"/>
          <w:szCs w:val="24"/>
        </w:rPr>
        <w:t>b）这些相关方的要求；</w:t>
      </w:r>
    </w:p>
    <w:p>
      <w:pPr>
        <w:spacing w:line="360" w:lineRule="auto"/>
        <w:ind w:firstLine="480" w:firstLineChars="200"/>
        <w:rPr>
          <w:rFonts w:ascii="宋体" w:hAnsi="宋体"/>
          <w:szCs w:val="24"/>
        </w:rPr>
      </w:pPr>
      <w:r>
        <w:rPr>
          <w:rFonts w:hint="eastAsia" w:ascii="宋体" w:hAnsi="宋体"/>
          <w:szCs w:val="24"/>
        </w:rPr>
        <w:t>公司应对这些相关方及其要求的相关信息进行监视和评审，以便于理解和持续满足相关方的需求和期望。公司应识别以下相关方和相关方的要求：</w:t>
      </w:r>
    </w:p>
    <w:p>
      <w:pPr>
        <w:spacing w:line="360" w:lineRule="auto"/>
        <w:ind w:left="2" w:firstLine="720" w:firstLineChars="300"/>
        <w:rPr>
          <w:rFonts w:ascii="宋体" w:hAnsi="宋体"/>
          <w:szCs w:val="24"/>
        </w:rPr>
      </w:pPr>
      <w:r>
        <w:rPr>
          <w:rFonts w:hint="eastAsia" w:ascii="宋体" w:hAnsi="宋体"/>
          <w:szCs w:val="24"/>
        </w:rPr>
        <w:t>--顾客；</w:t>
      </w:r>
    </w:p>
    <w:p>
      <w:pPr>
        <w:spacing w:line="360" w:lineRule="auto"/>
        <w:ind w:left="2716" w:leftChars="338" w:hanging="1905" w:hangingChars="794"/>
        <w:rPr>
          <w:rFonts w:ascii="宋体" w:hAnsi="宋体"/>
          <w:szCs w:val="24"/>
        </w:rPr>
      </w:pPr>
      <w:r>
        <w:rPr>
          <w:rFonts w:hint="eastAsia" w:ascii="宋体" w:hAnsi="宋体"/>
          <w:szCs w:val="24"/>
        </w:rPr>
        <w:t>--最终用户或受益人；</w:t>
      </w:r>
    </w:p>
    <w:p>
      <w:pPr>
        <w:spacing w:line="360" w:lineRule="auto"/>
        <w:ind w:left="2716" w:leftChars="338" w:hanging="1905" w:hangingChars="794"/>
        <w:rPr>
          <w:rFonts w:ascii="宋体" w:hAnsi="宋体"/>
          <w:szCs w:val="24"/>
        </w:rPr>
      </w:pPr>
      <w:r>
        <w:rPr>
          <w:rFonts w:hint="eastAsia" w:ascii="宋体" w:hAnsi="宋体"/>
          <w:szCs w:val="24"/>
        </w:rPr>
        <w:t>--业主，股东；</w:t>
      </w:r>
    </w:p>
    <w:p>
      <w:pPr>
        <w:spacing w:line="360" w:lineRule="auto"/>
        <w:ind w:left="2716" w:leftChars="338" w:hanging="1905" w:hangingChars="794"/>
        <w:rPr>
          <w:rFonts w:ascii="宋体" w:hAnsi="宋体"/>
          <w:szCs w:val="24"/>
        </w:rPr>
      </w:pPr>
      <w:r>
        <w:rPr>
          <w:rFonts w:hint="eastAsia" w:ascii="宋体" w:hAnsi="宋体"/>
          <w:szCs w:val="24"/>
        </w:rPr>
        <w:t>--银行；</w:t>
      </w:r>
    </w:p>
    <w:p>
      <w:pPr>
        <w:spacing w:line="360" w:lineRule="auto"/>
        <w:ind w:left="2716" w:leftChars="338" w:hanging="1905" w:hangingChars="794"/>
        <w:rPr>
          <w:rFonts w:ascii="宋体" w:hAnsi="宋体"/>
          <w:szCs w:val="24"/>
        </w:rPr>
      </w:pPr>
      <w:r>
        <w:rPr>
          <w:rFonts w:hint="eastAsia" w:ascii="宋体" w:hAnsi="宋体"/>
          <w:szCs w:val="24"/>
        </w:rPr>
        <w:t>--外部供应商；</w:t>
      </w:r>
    </w:p>
    <w:p>
      <w:pPr>
        <w:spacing w:line="360" w:lineRule="auto"/>
        <w:ind w:left="2716" w:leftChars="338" w:hanging="1905" w:hangingChars="794"/>
        <w:rPr>
          <w:rFonts w:ascii="宋体" w:hAnsi="宋体"/>
          <w:szCs w:val="24"/>
        </w:rPr>
      </w:pPr>
      <w:r>
        <w:rPr>
          <w:rFonts w:hint="eastAsia" w:ascii="宋体" w:hAnsi="宋体"/>
          <w:szCs w:val="24"/>
        </w:rPr>
        <w:t>--雇员及其他为公司工作者；</w:t>
      </w:r>
    </w:p>
    <w:p>
      <w:pPr>
        <w:spacing w:line="360" w:lineRule="auto"/>
        <w:ind w:left="2716" w:leftChars="338" w:hanging="1905" w:hangingChars="794"/>
        <w:rPr>
          <w:rFonts w:ascii="宋体" w:hAnsi="宋体"/>
          <w:szCs w:val="24"/>
        </w:rPr>
      </w:pPr>
      <w:r>
        <w:rPr>
          <w:rFonts w:hint="eastAsia" w:ascii="宋体" w:hAnsi="宋体"/>
          <w:szCs w:val="24"/>
        </w:rPr>
        <w:t>--法律法规及监管机关；</w:t>
      </w:r>
    </w:p>
    <w:p>
      <w:pPr>
        <w:spacing w:line="360" w:lineRule="auto"/>
        <w:ind w:left="2716" w:leftChars="338" w:hanging="1905" w:hangingChars="794"/>
        <w:rPr>
          <w:rFonts w:ascii="宋体" w:hAnsi="宋体"/>
          <w:szCs w:val="24"/>
        </w:rPr>
      </w:pPr>
      <w:r>
        <w:rPr>
          <w:rFonts w:hint="eastAsia" w:ascii="宋体" w:hAnsi="宋体"/>
          <w:szCs w:val="24"/>
        </w:rPr>
        <w:t>--地方社区团体；</w:t>
      </w:r>
    </w:p>
    <w:p>
      <w:pPr>
        <w:autoSpaceDE w:val="0"/>
        <w:autoSpaceDN w:val="0"/>
        <w:snapToGrid w:val="0"/>
        <w:spacing w:line="360" w:lineRule="auto"/>
        <w:ind w:left="120" w:leftChars="50" w:right="120" w:rightChars="50" w:firstLine="720" w:firstLineChars="300"/>
        <w:rPr>
          <w:rFonts w:ascii="宋体" w:hAnsi="宋体"/>
          <w:snapToGrid w:val="0"/>
          <w:kern w:val="0"/>
          <w:szCs w:val="24"/>
        </w:rPr>
      </w:pPr>
      <w:r>
        <w:rPr>
          <w:rFonts w:hint="eastAsia" w:ascii="宋体" w:hAnsi="宋体"/>
          <w:szCs w:val="24"/>
        </w:rPr>
        <w:t>--非政府组织。</w:t>
      </w:r>
    </w:p>
    <w:p>
      <w:pPr>
        <w:autoSpaceDE w:val="0"/>
        <w:autoSpaceDN w:val="0"/>
        <w:snapToGrid w:val="0"/>
        <w:spacing w:line="360" w:lineRule="auto"/>
        <w:ind w:right="120" w:rightChars="50" w:firstLine="360" w:firstLineChars="150"/>
        <w:rPr>
          <w:rFonts w:ascii="宋体" w:hAnsi="宋体"/>
          <w:snapToGrid w:val="0"/>
          <w:kern w:val="0"/>
          <w:szCs w:val="24"/>
        </w:rPr>
      </w:pPr>
      <w:r>
        <w:rPr>
          <w:rFonts w:hint="eastAsia" w:ascii="宋体" w:hAnsi="宋体"/>
          <w:szCs w:val="24"/>
        </w:rPr>
        <w:t>理解相关方的需求和期望可以帮助本公司更好的建立、实施质量管理体系，做到目标明确。满足相关方的要求并争取做到更高的期望值</w:t>
      </w:r>
      <w:r>
        <w:rPr>
          <w:rFonts w:hint="eastAsia" w:ascii="宋体" w:hAnsi="宋体"/>
          <w:snapToGrid w:val="0"/>
          <w:kern w:val="0"/>
          <w:szCs w:val="24"/>
        </w:rPr>
        <w:t>。</w:t>
      </w:r>
    </w:p>
    <w:p>
      <w:pPr>
        <w:spacing w:line="360" w:lineRule="auto"/>
        <w:rPr>
          <w:rFonts w:ascii="宋体" w:hAnsi="宋体"/>
          <w:b/>
          <w:szCs w:val="24"/>
        </w:rPr>
      </w:pPr>
      <w:r>
        <w:rPr>
          <w:rFonts w:hint="eastAsia" w:ascii="宋体" w:hAnsi="宋体"/>
          <w:b/>
          <w:szCs w:val="24"/>
        </w:rPr>
        <w:t>4.3确定质量管理体系的范围</w:t>
      </w:r>
    </w:p>
    <w:p>
      <w:pPr>
        <w:numPr>
          <w:ilvl w:val="0"/>
          <w:numId w:val="3"/>
        </w:numPr>
        <w:spacing w:line="360" w:lineRule="auto"/>
        <w:rPr>
          <w:rFonts w:ascii="宋体" w:hAnsi="宋体"/>
          <w:szCs w:val="24"/>
        </w:rPr>
      </w:pPr>
      <w:r>
        <w:rPr>
          <w:rFonts w:hint="eastAsia" w:ascii="宋体" w:hAnsi="宋体"/>
          <w:szCs w:val="24"/>
        </w:rPr>
        <w:t>本公司质量管理体系的范围覆盖：</w:t>
      </w:r>
      <w:r>
        <w:rPr>
          <w:rFonts w:hint="eastAsia" w:ascii="宋体" w:hAnsi="宋体" w:cs="宋体"/>
          <w:b/>
          <w:bCs/>
          <w:kern w:val="0"/>
        </w:rPr>
        <w:t>光电材料、半导体、光伏电子产业的设备维修</w:t>
      </w:r>
    </w:p>
    <w:p>
      <w:pPr>
        <w:numPr>
          <w:ilvl w:val="0"/>
          <w:numId w:val="3"/>
        </w:numPr>
        <w:spacing w:line="360" w:lineRule="auto"/>
        <w:rPr>
          <w:rFonts w:ascii="宋体" w:hAnsi="宋体"/>
          <w:szCs w:val="24"/>
        </w:rPr>
      </w:pPr>
      <w:r>
        <w:rPr>
          <w:rFonts w:hint="eastAsia" w:ascii="宋体" w:hAnsi="宋体"/>
        </w:rPr>
        <w:t>根据本公司产品和服务的特点，</w:t>
      </w:r>
      <w:r>
        <w:rPr>
          <w:rFonts w:ascii="宋体" w:hAnsi="宋体"/>
        </w:rPr>
        <w:t>GB/T19001—2016</w:t>
      </w:r>
      <w:r>
        <w:rPr>
          <w:rFonts w:hint="eastAsia" w:ascii="宋体" w:hAnsi="宋体"/>
        </w:rPr>
        <w:t>《质量管理体系要求》除8.3设计开发（不适用）外，所有条款均适用于本公司，并予以实施</w:t>
      </w:r>
      <w:r>
        <w:rPr>
          <w:rFonts w:hint="eastAsia" w:ascii="宋体" w:hAnsi="宋体"/>
          <w:szCs w:val="24"/>
        </w:rPr>
        <w:t>。</w:t>
      </w:r>
    </w:p>
    <w:p>
      <w:pPr>
        <w:spacing w:line="360" w:lineRule="auto"/>
        <w:rPr>
          <w:rFonts w:ascii="宋体" w:hAnsi="宋体"/>
          <w:b/>
          <w:szCs w:val="24"/>
        </w:rPr>
      </w:pPr>
      <w:r>
        <w:rPr>
          <w:rFonts w:hint="eastAsia" w:ascii="宋体" w:hAnsi="宋体"/>
          <w:b/>
          <w:szCs w:val="24"/>
        </w:rPr>
        <w:t>4.4质量管理体系及其过程</w:t>
      </w:r>
    </w:p>
    <w:p>
      <w:pPr>
        <w:spacing w:line="360" w:lineRule="auto"/>
        <w:rPr>
          <w:rFonts w:ascii="宋体" w:hAnsi="宋体"/>
          <w:b/>
          <w:szCs w:val="24"/>
        </w:rPr>
      </w:pPr>
      <w:r>
        <w:rPr>
          <w:rFonts w:hint="eastAsia" w:ascii="宋体" w:hAnsi="宋体"/>
          <w:szCs w:val="24"/>
        </w:rPr>
        <w:t>4.4.1</w:t>
      </w:r>
      <w:r>
        <w:rPr>
          <w:rFonts w:ascii="宋体" w:hAnsi="宋体"/>
          <w:szCs w:val="24"/>
        </w:rPr>
        <w:t>本公司根据GB/T19001—2016《质量管理体系-要求》建立质量管理体系并通过其有效运行予以保持，保持质量管理体系的持续改进，作为服务质量满足规定要求的一种手段。</w:t>
      </w:r>
    </w:p>
    <w:p>
      <w:pPr>
        <w:spacing w:line="360" w:lineRule="auto"/>
        <w:rPr>
          <w:rFonts w:ascii="宋体" w:hAnsi="宋体"/>
          <w:szCs w:val="24"/>
        </w:rPr>
      </w:pPr>
      <w:r>
        <w:rPr>
          <w:rFonts w:ascii="宋体" w:hAnsi="宋体"/>
          <w:szCs w:val="24"/>
        </w:rPr>
        <w:t>　　</w:t>
      </w:r>
      <w:r>
        <w:rPr>
          <w:rFonts w:hint="eastAsia" w:ascii="宋体" w:hAnsi="宋体"/>
          <w:szCs w:val="24"/>
        </w:rPr>
        <w:t>应</w:t>
      </w:r>
      <w:r>
        <w:rPr>
          <w:rFonts w:ascii="宋体" w:hAnsi="宋体"/>
          <w:szCs w:val="24"/>
        </w:rPr>
        <w:t>确定质量管理体系所需的过程及其在整个组织内的应用</w:t>
      </w:r>
      <w:r>
        <w:rPr>
          <w:rFonts w:hint="eastAsia" w:ascii="宋体" w:hAnsi="宋体"/>
          <w:szCs w:val="24"/>
        </w:rPr>
        <w:t>，</w:t>
      </w:r>
      <w:r>
        <w:rPr>
          <w:rFonts w:ascii="宋体" w:hAnsi="宋体"/>
          <w:szCs w:val="24"/>
        </w:rPr>
        <w:t>且应</w:t>
      </w:r>
      <w:r>
        <w:rPr>
          <w:rFonts w:hint="eastAsia" w:ascii="宋体" w:hAnsi="宋体"/>
          <w:szCs w:val="24"/>
        </w:rPr>
        <w:t>：</w:t>
      </w:r>
    </w:p>
    <w:p>
      <w:pPr>
        <w:spacing w:line="360" w:lineRule="auto"/>
        <w:ind w:left="600" w:hanging="600"/>
        <w:rPr>
          <w:rFonts w:ascii="宋体" w:hAnsi="宋体"/>
          <w:szCs w:val="24"/>
        </w:rPr>
      </w:pPr>
      <w:r>
        <w:rPr>
          <w:rFonts w:ascii="宋体" w:hAnsi="宋体"/>
          <w:szCs w:val="24"/>
        </w:rPr>
        <w:t xml:space="preserve">a) </w:t>
      </w:r>
      <w:r>
        <w:rPr>
          <w:rFonts w:hint="eastAsia" w:ascii="宋体" w:hAnsi="宋体"/>
          <w:szCs w:val="24"/>
          <w:lang w:val="zh-CN"/>
        </w:rPr>
        <w:t>确定这些</w:t>
      </w:r>
      <w:r>
        <w:rPr>
          <w:rFonts w:ascii="宋体" w:hAnsi="宋体"/>
          <w:szCs w:val="24"/>
          <w:lang w:val="zh-CN"/>
        </w:rPr>
        <w:t>过程所需的输入和期望的输出</w:t>
      </w:r>
      <w:r>
        <w:rPr>
          <w:rFonts w:ascii="宋体" w:hAnsi="宋体"/>
          <w:szCs w:val="24"/>
        </w:rPr>
        <w:t>；</w:t>
      </w:r>
    </w:p>
    <w:p>
      <w:pPr>
        <w:spacing w:line="360" w:lineRule="auto"/>
        <w:rPr>
          <w:rFonts w:ascii="宋体" w:hAnsi="宋体"/>
          <w:szCs w:val="24"/>
        </w:rPr>
      </w:pPr>
      <w:r>
        <w:rPr>
          <w:rFonts w:ascii="宋体" w:hAnsi="宋体"/>
          <w:szCs w:val="24"/>
        </w:rPr>
        <w:t>b) 确定质量管理体系过程的顺序和相互作用；</w:t>
      </w:r>
    </w:p>
    <w:p>
      <w:pPr>
        <w:spacing w:line="360" w:lineRule="auto"/>
        <w:ind w:left="720" w:hanging="720"/>
        <w:rPr>
          <w:rFonts w:ascii="宋体" w:hAnsi="宋体"/>
          <w:szCs w:val="24"/>
          <w:lang w:val="zh-CN"/>
        </w:rPr>
      </w:pPr>
      <w:r>
        <w:rPr>
          <w:rFonts w:ascii="宋体" w:hAnsi="宋体"/>
          <w:szCs w:val="24"/>
        </w:rPr>
        <w:t xml:space="preserve">c) </w:t>
      </w:r>
      <w:r>
        <w:rPr>
          <w:rFonts w:ascii="宋体" w:hAnsi="宋体"/>
          <w:szCs w:val="24"/>
          <w:lang w:val="zh-CN"/>
        </w:rPr>
        <w:t>确定</w:t>
      </w:r>
      <w:r>
        <w:rPr>
          <w:rFonts w:hint="eastAsia" w:ascii="宋体" w:hAnsi="宋体"/>
          <w:szCs w:val="24"/>
          <w:lang w:val="zh-CN"/>
        </w:rPr>
        <w:t>和</w:t>
      </w:r>
      <w:r>
        <w:rPr>
          <w:rFonts w:ascii="宋体" w:hAnsi="宋体"/>
          <w:szCs w:val="24"/>
          <w:lang w:val="zh-CN"/>
        </w:rPr>
        <w:t>应用所需的准则和方法</w:t>
      </w:r>
      <w:r>
        <w:rPr>
          <w:rFonts w:hint="eastAsia" w:ascii="宋体" w:hAnsi="宋体"/>
          <w:szCs w:val="24"/>
          <w:lang w:val="zh-CN"/>
        </w:rPr>
        <w:t>（包括监视、测量和相关绩效指标），以保持这些过程的运行和有效控制</w:t>
      </w:r>
      <w:r>
        <w:rPr>
          <w:rFonts w:ascii="宋体" w:hAnsi="宋体"/>
          <w:szCs w:val="24"/>
        </w:rPr>
        <w:t>；</w:t>
      </w:r>
    </w:p>
    <w:p>
      <w:pPr>
        <w:spacing w:line="360" w:lineRule="auto"/>
        <w:ind w:left="720" w:hanging="720"/>
        <w:rPr>
          <w:rFonts w:ascii="宋体" w:hAnsi="宋体"/>
          <w:szCs w:val="24"/>
        </w:rPr>
      </w:pPr>
      <w:r>
        <w:rPr>
          <w:rFonts w:ascii="宋体" w:hAnsi="宋体"/>
          <w:szCs w:val="24"/>
        </w:rPr>
        <w:t>d) 确定并</w:t>
      </w:r>
      <w:r>
        <w:rPr>
          <w:rFonts w:ascii="宋体" w:hAnsi="宋体"/>
          <w:szCs w:val="24"/>
          <w:lang w:val="zh-CN"/>
        </w:rPr>
        <w:t>确保获得</w:t>
      </w:r>
      <w:r>
        <w:rPr>
          <w:rFonts w:hint="eastAsia" w:ascii="宋体" w:hAnsi="宋体"/>
          <w:szCs w:val="24"/>
          <w:lang w:val="zh-CN"/>
        </w:rPr>
        <w:t>这些</w:t>
      </w:r>
      <w:r>
        <w:rPr>
          <w:rFonts w:ascii="宋体" w:hAnsi="宋体"/>
          <w:szCs w:val="24"/>
          <w:lang w:val="zh-CN"/>
        </w:rPr>
        <w:t>过程所需的字眼</w:t>
      </w:r>
      <w:r>
        <w:rPr>
          <w:rFonts w:ascii="宋体" w:hAnsi="宋体"/>
          <w:szCs w:val="24"/>
        </w:rPr>
        <w:t>；</w:t>
      </w:r>
    </w:p>
    <w:p>
      <w:pPr>
        <w:spacing w:line="360" w:lineRule="auto"/>
        <w:ind w:left="720" w:hanging="720"/>
        <w:rPr>
          <w:rFonts w:ascii="宋体" w:hAnsi="宋体"/>
          <w:szCs w:val="24"/>
        </w:rPr>
      </w:pPr>
      <w:r>
        <w:rPr>
          <w:rFonts w:ascii="宋体" w:hAnsi="宋体"/>
          <w:szCs w:val="24"/>
        </w:rPr>
        <w:t xml:space="preserve">e) </w:t>
      </w:r>
      <w:r>
        <w:rPr>
          <w:rFonts w:hint="eastAsia" w:ascii="宋体" w:hAnsi="宋体"/>
          <w:szCs w:val="24"/>
          <w:lang w:val="zh-CN"/>
        </w:rPr>
        <w:t>规定</w:t>
      </w:r>
      <w:r>
        <w:rPr>
          <w:rFonts w:ascii="宋体" w:hAnsi="宋体"/>
          <w:szCs w:val="24"/>
          <w:lang w:val="zh-CN"/>
        </w:rPr>
        <w:t>与这些过程有关的责任和权限</w:t>
      </w:r>
      <w:r>
        <w:rPr>
          <w:rFonts w:ascii="宋体" w:hAnsi="宋体"/>
          <w:szCs w:val="24"/>
        </w:rPr>
        <w:t>；</w:t>
      </w:r>
    </w:p>
    <w:p>
      <w:pPr>
        <w:spacing w:line="360" w:lineRule="auto"/>
        <w:ind w:left="720" w:hanging="720"/>
        <w:rPr>
          <w:rFonts w:ascii="宋体" w:hAnsi="宋体"/>
          <w:szCs w:val="24"/>
        </w:rPr>
      </w:pPr>
      <w:r>
        <w:rPr>
          <w:rFonts w:ascii="宋体" w:hAnsi="宋体"/>
          <w:szCs w:val="24"/>
        </w:rPr>
        <w:t>f) 按照标准</w:t>
      </w:r>
      <w:r>
        <w:rPr>
          <w:rFonts w:hint="eastAsia" w:ascii="宋体" w:hAnsi="宋体"/>
          <w:szCs w:val="24"/>
        </w:rPr>
        <w:t>6.1的要求确定风险和机遇；</w:t>
      </w:r>
    </w:p>
    <w:p>
      <w:pPr>
        <w:spacing w:line="360" w:lineRule="auto"/>
        <w:ind w:left="720" w:hanging="720"/>
        <w:rPr>
          <w:rFonts w:ascii="宋体" w:hAnsi="宋体"/>
          <w:szCs w:val="24"/>
        </w:rPr>
      </w:pPr>
      <w:r>
        <w:rPr>
          <w:rFonts w:hint="eastAsia" w:ascii="宋体" w:hAnsi="宋体"/>
          <w:szCs w:val="24"/>
        </w:rPr>
        <w:t>g)评价这些过程，实施所需的变更，以确保实现这些过程的预期结果；</w:t>
      </w:r>
    </w:p>
    <w:p>
      <w:pPr>
        <w:spacing w:line="360" w:lineRule="auto"/>
        <w:ind w:left="720" w:hanging="720"/>
        <w:rPr>
          <w:rFonts w:ascii="宋体" w:hAnsi="宋体"/>
          <w:szCs w:val="24"/>
        </w:rPr>
      </w:pPr>
      <w:r>
        <w:rPr>
          <w:rFonts w:hint="eastAsia" w:ascii="宋体" w:hAnsi="宋体"/>
          <w:szCs w:val="24"/>
        </w:rPr>
        <w:t>h)改进过程和质量管理体系</w:t>
      </w:r>
    </w:p>
    <w:p>
      <w:pPr>
        <w:spacing w:line="360" w:lineRule="auto"/>
        <w:rPr>
          <w:rFonts w:hint="default" w:ascii="宋体" w:hAnsi="宋体" w:eastAsia="宋体"/>
          <w:b/>
          <w:szCs w:val="24"/>
          <w:lang w:val="en-US" w:eastAsia="zh-CN"/>
        </w:rPr>
      </w:pPr>
      <w:r>
        <w:rPr>
          <w:rFonts w:ascii="宋体" w:hAnsi="宋体"/>
          <w:szCs w:val="24"/>
        </w:rPr>
        <w:t xml:space="preserve">   本公司按照GB/T19001—2016标准对质量管理体系进行控制，同时包括对供应商提供服务的管理。</w:t>
      </w:r>
      <w:r>
        <w:rPr>
          <w:rFonts w:ascii="宋体" w:hAnsi="宋体"/>
          <w:b/>
          <w:szCs w:val="24"/>
        </w:rPr>
        <w:t>本公司</w:t>
      </w:r>
      <w:r>
        <w:rPr>
          <w:rFonts w:hint="eastAsia" w:ascii="宋体" w:hAnsi="宋体"/>
          <w:b/>
          <w:szCs w:val="24"/>
        </w:rPr>
        <w:t>外包</w:t>
      </w:r>
      <w:r>
        <w:rPr>
          <w:rFonts w:hint="eastAsia" w:ascii="宋体" w:hAnsi="宋体"/>
          <w:b/>
          <w:szCs w:val="24"/>
          <w:lang w:val="en-US" w:eastAsia="zh-CN"/>
        </w:rPr>
        <w:t>过程</w:t>
      </w:r>
      <w:r>
        <w:rPr>
          <w:rFonts w:hint="eastAsia" w:ascii="宋体" w:hAnsi="宋体"/>
          <w:b/>
          <w:szCs w:val="24"/>
        </w:rPr>
        <w:t>：</w:t>
      </w:r>
      <w:r>
        <w:rPr>
          <w:rFonts w:hint="eastAsia" w:ascii="宋体" w:hAnsi="宋体"/>
          <w:b/>
          <w:szCs w:val="24"/>
          <w:lang w:val="en-US" w:eastAsia="zh-CN"/>
        </w:rPr>
        <w:t>危废处理</w:t>
      </w:r>
    </w:p>
    <w:p>
      <w:pPr>
        <w:spacing w:line="360" w:lineRule="auto"/>
        <w:rPr>
          <w:rFonts w:ascii="宋体" w:hAnsi="宋体"/>
          <w:szCs w:val="24"/>
        </w:rPr>
      </w:pPr>
      <w:r>
        <w:rPr>
          <w:rFonts w:hint="eastAsia" w:ascii="宋体" w:hAnsi="宋体"/>
          <w:szCs w:val="24"/>
        </w:rPr>
        <w:t xml:space="preserve"> 4.4.2在必要的程度上，组织应：</w:t>
      </w:r>
    </w:p>
    <w:p>
      <w:pPr>
        <w:spacing w:line="360" w:lineRule="auto"/>
        <w:rPr>
          <w:rFonts w:ascii="宋体" w:hAnsi="宋体"/>
          <w:szCs w:val="24"/>
        </w:rPr>
      </w:pPr>
      <w:r>
        <w:rPr>
          <w:rFonts w:ascii="宋体" w:hAnsi="宋体"/>
          <w:szCs w:val="24"/>
        </w:rPr>
        <w:t>a</w:t>
      </w:r>
      <w:r>
        <w:rPr>
          <w:rFonts w:hint="eastAsia" w:ascii="宋体" w:hAnsi="宋体"/>
          <w:szCs w:val="24"/>
        </w:rPr>
        <w:t>）</w:t>
      </w:r>
      <w:r>
        <w:rPr>
          <w:rFonts w:ascii="宋体" w:hAnsi="宋体"/>
          <w:szCs w:val="24"/>
        </w:rPr>
        <w:t>保持形成文件的信息以支持过程运行</w:t>
      </w:r>
      <w:r>
        <w:rPr>
          <w:rFonts w:hint="eastAsia" w:ascii="宋体" w:hAnsi="宋体"/>
          <w:szCs w:val="24"/>
        </w:rPr>
        <w:t>；</w:t>
      </w:r>
    </w:p>
    <w:p>
      <w:pPr>
        <w:spacing w:line="360" w:lineRule="auto"/>
        <w:rPr>
          <w:rFonts w:ascii="宋体" w:hAnsi="宋体"/>
          <w:szCs w:val="24"/>
        </w:rPr>
      </w:pPr>
      <w:r>
        <w:rPr>
          <w:rFonts w:hint="eastAsia" w:ascii="宋体" w:hAnsi="宋体"/>
          <w:szCs w:val="24"/>
        </w:rPr>
        <w:t>b)保留成文信息以确信其过程按策划进行。</w:t>
      </w:r>
    </w:p>
    <w:p>
      <w:pPr>
        <w:spacing w:line="400" w:lineRule="exact"/>
        <w:rPr>
          <w:rFonts w:ascii="宋体" w:hAnsi="宋体"/>
        </w:rPr>
      </w:pPr>
      <w:r>
        <w:rPr>
          <w:rFonts w:hint="eastAsia" w:ascii="宋体" w:hAnsi="宋体"/>
        </w:rPr>
        <w:t>4.4.3本公司通过以下活动对过程实施控制：</w:t>
      </w:r>
    </w:p>
    <w:p>
      <w:pPr>
        <w:spacing w:line="400" w:lineRule="exact"/>
        <w:ind w:firstLine="480" w:firstLineChars="200"/>
        <w:rPr>
          <w:rFonts w:ascii="宋体" w:hAnsi="宋体"/>
        </w:rPr>
      </w:pPr>
      <w:r>
        <w:rPr>
          <w:rFonts w:hint="eastAsia" w:ascii="宋体" w:hAnsi="宋体"/>
        </w:rPr>
        <w:t>本公司对管理体系所需要的过程进行识别 ，确定每个过程所需的输入和期望的输出，确定这些过程的顺序和相互作用。</w:t>
      </w:r>
    </w:p>
    <w:p>
      <w:pPr>
        <w:spacing w:line="360" w:lineRule="auto"/>
        <w:rPr>
          <w:rFonts w:ascii="宋体" w:hAnsi="宋体"/>
          <w:b/>
          <w:sz w:val="21"/>
          <w:szCs w:val="21"/>
        </w:rPr>
      </w:pPr>
      <w:r>
        <w:rPr>
          <w:rFonts w:hint="eastAsia" w:ascii="宋体" w:hAnsi="宋体"/>
          <w:b/>
          <w:szCs w:val="24"/>
        </w:rPr>
        <w:t>5领导作用</w:t>
      </w:r>
    </w:p>
    <w:p>
      <w:pPr>
        <w:spacing w:line="360" w:lineRule="auto"/>
        <w:rPr>
          <w:rFonts w:ascii="宋体" w:hAnsi="宋体"/>
          <w:b/>
          <w:szCs w:val="24"/>
        </w:rPr>
      </w:pPr>
      <w:r>
        <w:rPr>
          <w:rFonts w:hint="eastAsia" w:ascii="宋体" w:hAnsi="宋体"/>
          <w:b/>
          <w:szCs w:val="24"/>
        </w:rPr>
        <w:t>5.1领导作用和承诺</w:t>
      </w:r>
    </w:p>
    <w:p>
      <w:pPr>
        <w:spacing w:line="360" w:lineRule="auto"/>
        <w:ind w:firstLine="480" w:firstLineChars="200"/>
        <w:rPr>
          <w:rFonts w:ascii="宋体" w:hAnsi="宋体"/>
          <w:szCs w:val="24"/>
        </w:rPr>
      </w:pPr>
      <w:r>
        <w:rPr>
          <w:rFonts w:ascii="宋体" w:hAnsi="宋体"/>
          <w:szCs w:val="24"/>
        </w:rPr>
        <w:t>管理者通过以下活动，对其建立和实施质量管理体系有效性及策划结果的实现发挥领导作用</w:t>
      </w:r>
      <w:r>
        <w:rPr>
          <w:rFonts w:hint="eastAsia" w:ascii="宋体" w:hAnsi="宋体"/>
          <w:szCs w:val="24"/>
        </w:rPr>
        <w:t>，</w:t>
      </w:r>
      <w:r>
        <w:rPr>
          <w:rFonts w:ascii="宋体" w:hAnsi="宋体"/>
          <w:szCs w:val="24"/>
        </w:rPr>
        <w:t>实现管理承诺</w:t>
      </w:r>
      <w:r>
        <w:rPr>
          <w:rFonts w:hint="eastAsia" w:ascii="宋体" w:hAnsi="宋体"/>
          <w:szCs w:val="24"/>
        </w:rPr>
        <w:t>。</w:t>
      </w:r>
    </w:p>
    <w:p>
      <w:pPr>
        <w:numPr>
          <w:ilvl w:val="0"/>
          <w:numId w:val="4"/>
        </w:numPr>
        <w:spacing w:line="360" w:lineRule="auto"/>
        <w:ind w:left="1276" w:hanging="567"/>
        <w:rPr>
          <w:rFonts w:ascii="宋体" w:hAnsi="宋体"/>
          <w:szCs w:val="24"/>
        </w:rPr>
      </w:pPr>
      <w:r>
        <w:rPr>
          <w:rFonts w:hint="eastAsia" w:ascii="宋体" w:hAnsi="宋体"/>
          <w:szCs w:val="24"/>
        </w:rPr>
        <w:t>通过持续的绩效监视、测量及定期的管理评审来确保质量管理体系的适宜性及有效性；</w:t>
      </w:r>
    </w:p>
    <w:p>
      <w:pPr>
        <w:numPr>
          <w:ilvl w:val="0"/>
          <w:numId w:val="4"/>
        </w:numPr>
        <w:spacing w:line="360" w:lineRule="auto"/>
        <w:ind w:left="1276" w:hanging="567"/>
        <w:rPr>
          <w:rFonts w:ascii="宋体" w:hAnsi="宋体"/>
          <w:szCs w:val="24"/>
        </w:rPr>
      </w:pPr>
      <w:r>
        <w:rPr>
          <w:rFonts w:ascii="宋体" w:hAnsi="宋体"/>
          <w:szCs w:val="24"/>
        </w:rPr>
        <w:t>在建立</w:t>
      </w:r>
      <w:r>
        <w:rPr>
          <w:rFonts w:hint="eastAsia" w:ascii="宋体" w:hAnsi="宋体"/>
          <w:szCs w:val="24"/>
        </w:rPr>
        <w:t>、</w:t>
      </w:r>
      <w:r>
        <w:rPr>
          <w:rFonts w:ascii="宋体" w:hAnsi="宋体"/>
          <w:szCs w:val="24"/>
        </w:rPr>
        <w:t>更新质量方针和目标时</w:t>
      </w:r>
      <w:r>
        <w:rPr>
          <w:rFonts w:hint="eastAsia" w:ascii="宋体" w:hAnsi="宋体"/>
          <w:szCs w:val="24"/>
        </w:rPr>
        <w:t>，</w:t>
      </w:r>
      <w:r>
        <w:rPr>
          <w:rFonts w:ascii="宋体" w:hAnsi="宋体"/>
          <w:szCs w:val="24"/>
        </w:rPr>
        <w:t>确保其与组织环境</w:t>
      </w:r>
      <w:r>
        <w:rPr>
          <w:rFonts w:hint="eastAsia" w:ascii="宋体" w:hAnsi="宋体"/>
          <w:szCs w:val="24"/>
        </w:rPr>
        <w:t>、</w:t>
      </w:r>
      <w:r>
        <w:rPr>
          <w:rFonts w:ascii="宋体" w:hAnsi="宋体"/>
          <w:szCs w:val="24"/>
        </w:rPr>
        <w:t>内外部事宜</w:t>
      </w:r>
      <w:r>
        <w:rPr>
          <w:rFonts w:hint="eastAsia" w:ascii="宋体" w:hAnsi="宋体"/>
          <w:szCs w:val="24"/>
        </w:rPr>
        <w:t>、</w:t>
      </w:r>
      <w:r>
        <w:rPr>
          <w:rFonts w:ascii="宋体" w:hAnsi="宋体"/>
          <w:szCs w:val="24"/>
        </w:rPr>
        <w:t>战略方向保持一致</w:t>
      </w:r>
      <w:r>
        <w:rPr>
          <w:rFonts w:hint="eastAsia" w:ascii="宋体" w:hAnsi="宋体"/>
          <w:szCs w:val="24"/>
        </w:rPr>
        <w:t>，</w:t>
      </w:r>
      <w:r>
        <w:rPr>
          <w:rFonts w:ascii="宋体" w:hAnsi="宋体"/>
          <w:szCs w:val="24"/>
        </w:rPr>
        <w:t>并支持总体经营过程</w:t>
      </w:r>
      <w:r>
        <w:rPr>
          <w:rFonts w:hint="eastAsia" w:ascii="宋体" w:hAnsi="宋体"/>
          <w:szCs w:val="24"/>
        </w:rPr>
        <w:t>；</w:t>
      </w:r>
    </w:p>
    <w:p>
      <w:pPr>
        <w:numPr>
          <w:ilvl w:val="0"/>
          <w:numId w:val="4"/>
        </w:numPr>
        <w:spacing w:line="360" w:lineRule="auto"/>
        <w:ind w:left="1276" w:hanging="567"/>
        <w:rPr>
          <w:rFonts w:ascii="宋体" w:hAnsi="宋体"/>
          <w:szCs w:val="24"/>
        </w:rPr>
      </w:pPr>
      <w:r>
        <w:rPr>
          <w:rFonts w:hint="eastAsia" w:ascii="宋体" w:hAnsi="宋体"/>
          <w:szCs w:val="24"/>
        </w:rPr>
        <w:t>确保质量管理体系过程和其他职能过程接口（如采购、服务、检验、监视和测量、分析与评价、顾客满意度等）在公司中无缝对接，确保质量管理体系要求融入到部门的业务过程；</w:t>
      </w:r>
    </w:p>
    <w:p>
      <w:pPr>
        <w:numPr>
          <w:ilvl w:val="0"/>
          <w:numId w:val="4"/>
        </w:numPr>
        <w:spacing w:line="360" w:lineRule="auto"/>
        <w:ind w:left="1276" w:hanging="567"/>
        <w:rPr>
          <w:rFonts w:ascii="宋体" w:hAnsi="宋体"/>
          <w:szCs w:val="24"/>
        </w:rPr>
      </w:pPr>
      <w:r>
        <w:rPr>
          <w:rFonts w:hint="eastAsia" w:ascii="宋体" w:hAnsi="宋体"/>
          <w:szCs w:val="24"/>
        </w:rPr>
        <w:t>确保部门之间建设性的合作，体现系统方法，以实现过程间有效的接口和将输入转化为输出时的有效性为目的，协同进行风险评估和风险处置；</w:t>
      </w:r>
    </w:p>
    <w:p>
      <w:pPr>
        <w:numPr>
          <w:ilvl w:val="0"/>
          <w:numId w:val="4"/>
        </w:numPr>
        <w:spacing w:line="360" w:lineRule="auto"/>
        <w:ind w:left="1276" w:hanging="567"/>
        <w:rPr>
          <w:rFonts w:ascii="宋体" w:hAnsi="宋体"/>
          <w:szCs w:val="24"/>
        </w:rPr>
      </w:pPr>
      <w:r>
        <w:rPr>
          <w:rFonts w:hint="eastAsia" w:ascii="宋体" w:hAnsi="宋体"/>
          <w:szCs w:val="24"/>
        </w:rPr>
        <w:t>监视当前及预期的工作量、进度，确保在必要时获得充足的质量管理体系资源（如人力、工具及设备等）</w:t>
      </w:r>
    </w:p>
    <w:p>
      <w:pPr>
        <w:numPr>
          <w:ilvl w:val="0"/>
          <w:numId w:val="4"/>
        </w:numPr>
        <w:spacing w:line="360" w:lineRule="auto"/>
        <w:ind w:left="1276" w:hanging="567"/>
        <w:rPr>
          <w:rFonts w:ascii="宋体" w:hAnsi="宋体"/>
          <w:szCs w:val="24"/>
        </w:rPr>
      </w:pPr>
      <w:r>
        <w:rPr>
          <w:rFonts w:hint="eastAsia" w:ascii="宋体" w:hAnsi="宋体"/>
          <w:szCs w:val="24"/>
        </w:rPr>
        <w:t>通过内部信息会议、邮件、个人讨论、组织会议等形式，就质量管理体系的价值和效益进行沟通；</w:t>
      </w:r>
    </w:p>
    <w:p>
      <w:pPr>
        <w:numPr>
          <w:ilvl w:val="0"/>
          <w:numId w:val="4"/>
        </w:numPr>
        <w:spacing w:line="360" w:lineRule="auto"/>
        <w:ind w:left="1276" w:hanging="567"/>
        <w:rPr>
          <w:rFonts w:ascii="宋体" w:hAnsi="宋体"/>
          <w:szCs w:val="24"/>
        </w:rPr>
      </w:pPr>
      <w:r>
        <w:rPr>
          <w:rFonts w:hint="eastAsia" w:ascii="宋体" w:hAnsi="宋体"/>
          <w:szCs w:val="24"/>
        </w:rPr>
        <w:t>监视质量管理体系的输出，当期望结果未能实现时，确保纠正措施相关责任落实到个人或团队；</w:t>
      </w:r>
    </w:p>
    <w:p>
      <w:pPr>
        <w:numPr>
          <w:ilvl w:val="0"/>
          <w:numId w:val="4"/>
        </w:numPr>
        <w:spacing w:line="360" w:lineRule="auto"/>
        <w:ind w:left="1276" w:hanging="567"/>
        <w:rPr>
          <w:rFonts w:ascii="宋体" w:hAnsi="宋体"/>
          <w:szCs w:val="24"/>
        </w:rPr>
      </w:pPr>
      <w:r>
        <w:rPr>
          <w:rFonts w:hint="eastAsia" w:ascii="宋体" w:hAnsi="宋体"/>
          <w:szCs w:val="24"/>
        </w:rPr>
        <w:t>在公司的所有层次创建并保持共同的价值观和公平道德的行为模式，培育诚信和正直的文化，鼓励在整个公司范围内履行对质量的承诺，激发和表彰员工为质量管理体系做出贡献；</w:t>
      </w:r>
    </w:p>
    <w:p>
      <w:pPr>
        <w:numPr>
          <w:ilvl w:val="0"/>
          <w:numId w:val="4"/>
        </w:numPr>
        <w:spacing w:line="360" w:lineRule="auto"/>
        <w:ind w:left="1276" w:hanging="567"/>
        <w:rPr>
          <w:rFonts w:ascii="宋体" w:hAnsi="宋体"/>
          <w:szCs w:val="24"/>
        </w:rPr>
      </w:pPr>
      <w:r>
        <w:rPr>
          <w:rFonts w:hint="eastAsia" w:ascii="宋体" w:hAnsi="宋体"/>
          <w:szCs w:val="24"/>
        </w:rPr>
        <w:t>通过绩效评价、内部审核、第三方审核、管理评审等提出的关于改进的信息，并不断推动持续改进；</w:t>
      </w:r>
    </w:p>
    <w:p>
      <w:pPr>
        <w:numPr>
          <w:ilvl w:val="0"/>
          <w:numId w:val="4"/>
        </w:numPr>
        <w:spacing w:line="360" w:lineRule="auto"/>
        <w:ind w:left="1276" w:hanging="567"/>
        <w:rPr>
          <w:rFonts w:ascii="宋体" w:hAnsi="宋体"/>
          <w:szCs w:val="24"/>
        </w:rPr>
      </w:pPr>
      <w:r>
        <w:rPr>
          <w:rFonts w:hint="eastAsia" w:ascii="宋体" w:hAnsi="宋体"/>
          <w:szCs w:val="24"/>
        </w:rPr>
        <w:t>支持其他管理者履行其相关领域的职责，在理解和处理顾客强制性要求和顾客反馈方面提供支持和指导，确保各级领导者成为公司人员中的楷模。</w:t>
      </w:r>
    </w:p>
    <w:p>
      <w:pPr>
        <w:spacing w:line="360" w:lineRule="auto"/>
        <w:ind w:firstLine="482" w:firstLineChars="200"/>
        <w:rPr>
          <w:rFonts w:ascii="宋体" w:hAnsi="宋体"/>
          <w:szCs w:val="24"/>
        </w:rPr>
      </w:pPr>
      <w:r>
        <w:rPr>
          <w:rFonts w:hint="eastAsia" w:ascii="宋体" w:hAnsi="宋体"/>
          <w:b/>
          <w:szCs w:val="24"/>
        </w:rPr>
        <w:t>5.1.2以顾客为关注焦点</w:t>
      </w:r>
    </w:p>
    <w:p>
      <w:pPr>
        <w:spacing w:line="360" w:lineRule="auto"/>
        <w:ind w:firstLine="480" w:firstLineChars="200"/>
        <w:rPr>
          <w:rFonts w:ascii="宋体" w:hAnsi="宋体"/>
          <w:szCs w:val="24"/>
        </w:rPr>
      </w:pPr>
      <w:r>
        <w:rPr>
          <w:rFonts w:hint="eastAsia" w:ascii="宋体" w:hAnsi="宋体"/>
          <w:szCs w:val="24"/>
        </w:rPr>
        <w:t>总经理应证实以顾客满意为目的，确保顾客要求得到确定并予以满足发挥领导作用和承诺，通过：</w:t>
      </w:r>
    </w:p>
    <w:p>
      <w:pPr>
        <w:spacing w:line="360" w:lineRule="auto"/>
        <w:ind w:firstLine="2"/>
        <w:rPr>
          <w:rFonts w:ascii="宋体" w:hAnsi="宋体"/>
          <w:szCs w:val="24"/>
        </w:rPr>
      </w:pPr>
      <w:r>
        <w:rPr>
          <w:rFonts w:hint="eastAsia" w:ascii="宋体" w:hAnsi="宋体"/>
          <w:szCs w:val="24"/>
        </w:rPr>
        <w:t xml:space="preserve">   a) 在公司中沟通顾客需求及期望，在确定顾客要求和达成共识方面与顾客进行双向沟通。使全体员工意识到持续满足顾客要求以及适用的法律法规要求的重要性，确保维修服务过程的质量满足预期的结果，顾客提供合格一致的产品，增进顾客满意；</w:t>
      </w:r>
    </w:p>
    <w:p>
      <w:pPr>
        <w:spacing w:line="360" w:lineRule="auto"/>
        <w:ind w:firstLine="2"/>
        <w:rPr>
          <w:rFonts w:ascii="宋体" w:hAnsi="宋体"/>
          <w:szCs w:val="24"/>
        </w:rPr>
      </w:pPr>
      <w:r>
        <w:rPr>
          <w:rFonts w:hint="eastAsia" w:ascii="宋体" w:hAnsi="宋体"/>
          <w:szCs w:val="24"/>
        </w:rPr>
        <w:t xml:space="preserve">   b) 确定和应对能够影响产品符合性以及增强顾客满意能力有影响的风险和机遇；</w:t>
      </w:r>
    </w:p>
    <w:p>
      <w:pPr>
        <w:spacing w:line="360" w:lineRule="auto"/>
        <w:ind w:firstLine="360" w:firstLineChars="150"/>
        <w:rPr>
          <w:rFonts w:ascii="宋体" w:hAnsi="宋体"/>
          <w:szCs w:val="24"/>
        </w:rPr>
      </w:pPr>
      <w:r>
        <w:rPr>
          <w:rFonts w:hint="eastAsia" w:ascii="宋体" w:hAnsi="宋体"/>
          <w:szCs w:val="24"/>
        </w:rPr>
        <w:t>c) 始终致力于增强顾客满意。</w:t>
      </w:r>
    </w:p>
    <w:p>
      <w:pPr>
        <w:spacing w:line="360" w:lineRule="auto"/>
        <w:rPr>
          <w:rFonts w:ascii="宋体" w:hAnsi="宋体"/>
          <w:b/>
          <w:szCs w:val="24"/>
        </w:rPr>
      </w:pPr>
      <w:r>
        <w:rPr>
          <w:rFonts w:hint="eastAsia" w:ascii="宋体" w:hAnsi="宋体"/>
          <w:b/>
          <w:szCs w:val="24"/>
        </w:rPr>
        <w:t>5.2方针</w:t>
      </w:r>
    </w:p>
    <w:p>
      <w:pPr>
        <w:spacing w:line="360" w:lineRule="auto"/>
        <w:rPr>
          <w:rFonts w:ascii="宋体" w:hAnsi="宋体"/>
          <w:b/>
          <w:szCs w:val="24"/>
        </w:rPr>
      </w:pPr>
      <w:r>
        <w:rPr>
          <w:rFonts w:hint="eastAsia" w:ascii="宋体" w:hAnsi="宋体"/>
          <w:b/>
          <w:szCs w:val="24"/>
        </w:rPr>
        <w:t>5.2.1质量方针</w:t>
      </w:r>
    </w:p>
    <w:p>
      <w:pPr>
        <w:spacing w:line="360" w:lineRule="auto"/>
        <w:ind w:firstLine="480" w:firstLineChars="200"/>
        <w:rPr>
          <w:rFonts w:ascii="宋体" w:hAnsi="宋体"/>
          <w:szCs w:val="24"/>
        </w:rPr>
      </w:pPr>
      <w:r>
        <w:rPr>
          <w:rFonts w:hint="eastAsia" w:ascii="宋体" w:hAnsi="宋体"/>
          <w:szCs w:val="24"/>
        </w:rPr>
        <w:t>为实现以顾客满意为目的，确保顾客的需求和期望得到确定，并转化成为公司项目和服务要求，特制定本公司的质量方针为：</w:t>
      </w:r>
    </w:p>
    <w:p>
      <w:pPr>
        <w:pStyle w:val="12"/>
        <w:pBdr>
          <w:bottom w:val="none" w:color="auto" w:sz="0" w:space="0"/>
        </w:pBdr>
        <w:spacing w:line="700" w:lineRule="exact"/>
        <w:jc w:val="both"/>
        <w:rPr>
          <w:rFonts w:ascii="宋体" w:hAnsi="宋体"/>
          <w:b/>
          <w:color w:val="0000FF"/>
          <w:sz w:val="24"/>
        </w:rPr>
      </w:pPr>
      <w:r>
        <w:rPr>
          <w:rFonts w:hint="eastAsia" w:ascii="宋体" w:hAnsi="宋体" w:cs="仿宋"/>
          <w:b/>
          <w:sz w:val="24"/>
          <w:szCs w:val="24"/>
        </w:rPr>
        <w:t>科学管理、服务至上、</w:t>
      </w:r>
      <w:r>
        <w:rPr>
          <w:rFonts w:hint="eastAsia" w:ascii="宋体" w:hAnsi="宋体" w:cs="仿宋"/>
          <w:b/>
          <w:spacing w:val="12"/>
          <w:sz w:val="24"/>
          <w:szCs w:val="24"/>
        </w:rPr>
        <w:t>诚信经营、满足顾客要求</w:t>
      </w:r>
    </w:p>
    <w:p>
      <w:pPr>
        <w:spacing w:line="360" w:lineRule="auto"/>
        <w:ind w:firstLine="480" w:firstLineChars="200"/>
        <w:rPr>
          <w:rFonts w:ascii="宋体" w:hAnsi="宋体"/>
          <w:szCs w:val="24"/>
        </w:rPr>
      </w:pPr>
    </w:p>
    <w:p>
      <w:pPr>
        <w:spacing w:line="360" w:lineRule="auto"/>
        <w:ind w:firstLine="480" w:firstLineChars="200"/>
        <w:rPr>
          <w:rFonts w:ascii="宋体" w:hAnsi="宋体"/>
          <w:szCs w:val="24"/>
        </w:rPr>
      </w:pPr>
      <w:r>
        <w:rPr>
          <w:rFonts w:hint="eastAsia" w:ascii="宋体" w:hAnsi="宋体"/>
          <w:szCs w:val="24"/>
        </w:rPr>
        <w:t>1）总经理声明：本质量方针是从公司长期的发展利益考虑，强化质量管理工作，使全体员工的质量意识不断提高，确保技术报务过程质量不断提高是公司生存基础；真诚对待顾客，持续地满足顾客的要求和愿望，才能赢得更多的顾客，占领更广阔的市场，才能收到良好的经济效益，同时顾客才会满意。</w:t>
      </w:r>
    </w:p>
    <w:p>
      <w:pPr>
        <w:spacing w:line="360" w:lineRule="auto"/>
        <w:ind w:firstLine="480" w:firstLineChars="200"/>
        <w:rPr>
          <w:rFonts w:ascii="宋体" w:hAnsi="宋体"/>
          <w:szCs w:val="24"/>
        </w:rPr>
      </w:pPr>
      <w:r>
        <w:rPr>
          <w:rFonts w:hint="eastAsia" w:ascii="宋体" w:hAnsi="宋体"/>
          <w:szCs w:val="24"/>
        </w:rPr>
        <w:t>2）本方针与公司总体经营方针相适应、协调，它是公司经营方针的重要组成部分，体现了满足要求和持续改进的承诺。</w:t>
      </w:r>
    </w:p>
    <w:p>
      <w:pPr>
        <w:spacing w:line="360" w:lineRule="auto"/>
        <w:ind w:firstLine="480" w:firstLineChars="200"/>
        <w:rPr>
          <w:rFonts w:ascii="宋体" w:hAnsi="宋体"/>
          <w:szCs w:val="24"/>
        </w:rPr>
      </w:pPr>
      <w:r>
        <w:rPr>
          <w:rFonts w:hint="eastAsia" w:ascii="宋体" w:hAnsi="宋体"/>
          <w:szCs w:val="24"/>
        </w:rPr>
        <w:t>3）本方针为制定和评审质量目标提供了框架，公司与质量有关各部门应在此基础上制定相应的质量目标，按“6.2质量目标及其实现的策划”要求执行。</w:t>
      </w:r>
    </w:p>
    <w:p>
      <w:pPr>
        <w:spacing w:line="360" w:lineRule="auto"/>
        <w:ind w:firstLine="480" w:firstLineChars="200"/>
        <w:rPr>
          <w:rFonts w:ascii="宋体" w:hAnsi="宋体"/>
          <w:szCs w:val="24"/>
        </w:rPr>
      </w:pPr>
      <w:r>
        <w:rPr>
          <w:rFonts w:hint="eastAsia" w:ascii="宋体" w:hAnsi="宋体"/>
          <w:szCs w:val="24"/>
        </w:rPr>
        <w:t>4）各级领导要将质量方针传达到管理、执行、验证和作业等层次，使全体员工正确理解并坚决执行。</w:t>
      </w:r>
    </w:p>
    <w:p>
      <w:pPr>
        <w:spacing w:line="360" w:lineRule="auto"/>
        <w:ind w:firstLine="480" w:firstLineChars="200"/>
        <w:rPr>
          <w:rFonts w:ascii="宋体" w:hAnsi="宋体"/>
          <w:szCs w:val="24"/>
        </w:rPr>
      </w:pPr>
      <w:r>
        <w:rPr>
          <w:rFonts w:hint="eastAsia" w:ascii="宋体" w:hAnsi="宋体"/>
          <w:szCs w:val="24"/>
        </w:rPr>
        <w:t>5）公司应不断地对质量方针的适宜性进行评审，必要时可对其进行修改以适应公司内外环境的变化，执行“5.2方针”的有关规定。</w:t>
      </w:r>
    </w:p>
    <w:p>
      <w:pPr>
        <w:spacing w:line="360" w:lineRule="auto"/>
        <w:ind w:firstLine="480" w:firstLineChars="200"/>
        <w:rPr>
          <w:rFonts w:ascii="宋体" w:hAnsi="宋体"/>
          <w:szCs w:val="24"/>
        </w:rPr>
      </w:pPr>
      <w:r>
        <w:rPr>
          <w:rFonts w:hint="eastAsia" w:ascii="宋体" w:hAnsi="宋体"/>
          <w:szCs w:val="24"/>
        </w:rPr>
        <w:t>6）对质量方针的发布、评审、修改都应经总经理批准，并实施控制，按《文件和记录控制程序》的规定执行。</w:t>
      </w:r>
    </w:p>
    <w:p>
      <w:pPr>
        <w:spacing w:line="360" w:lineRule="auto"/>
        <w:rPr>
          <w:rFonts w:ascii="宋体" w:hAnsi="宋体"/>
          <w:b/>
          <w:szCs w:val="24"/>
        </w:rPr>
      </w:pPr>
      <w:r>
        <w:rPr>
          <w:rFonts w:hint="eastAsia" w:ascii="宋体" w:hAnsi="宋体"/>
          <w:b/>
          <w:szCs w:val="24"/>
        </w:rPr>
        <w:t>5.2.2沟通质量方针</w:t>
      </w:r>
    </w:p>
    <w:p>
      <w:pPr>
        <w:spacing w:line="360" w:lineRule="auto"/>
        <w:ind w:firstLine="480" w:firstLineChars="200"/>
        <w:rPr>
          <w:rFonts w:ascii="宋体" w:hAnsi="宋体"/>
          <w:szCs w:val="24"/>
        </w:rPr>
      </w:pPr>
      <w:r>
        <w:rPr>
          <w:rFonts w:hint="eastAsia" w:ascii="宋体" w:hAnsi="宋体"/>
          <w:szCs w:val="24"/>
        </w:rPr>
        <w:t>质量方针应作为形成文件的信息以正式的形式表述、发布、管理和维护，通过有效的渠道和方式与组织内各级员工进行沟通，使员工理解质量方针并应用于其工作中。适当时，利益相关方应可获得质量方针。</w:t>
      </w:r>
    </w:p>
    <w:p>
      <w:pPr>
        <w:spacing w:line="360" w:lineRule="auto"/>
        <w:rPr>
          <w:rFonts w:ascii="宋体" w:hAnsi="宋体"/>
          <w:b/>
          <w:szCs w:val="24"/>
        </w:rPr>
      </w:pPr>
      <w:r>
        <w:rPr>
          <w:rFonts w:hint="eastAsia" w:ascii="宋体" w:hAnsi="宋体"/>
          <w:b/>
          <w:szCs w:val="24"/>
        </w:rPr>
        <w:t>5.3组织的角色、职责和权限</w:t>
      </w:r>
    </w:p>
    <w:p>
      <w:pPr>
        <w:spacing w:line="400" w:lineRule="exact"/>
        <w:ind w:firstLine="480" w:firstLineChars="200"/>
        <w:rPr>
          <w:rFonts w:ascii="宋体" w:hAnsi="宋体"/>
          <w:bCs/>
          <w:szCs w:val="24"/>
        </w:rPr>
      </w:pPr>
      <w:r>
        <w:rPr>
          <w:rFonts w:hint="eastAsia" w:ascii="宋体" w:hAnsi="宋体"/>
          <w:bCs/>
          <w:szCs w:val="24"/>
        </w:rPr>
        <w:t>为了有效的实施质量管理，本公司确定了公司结构(见本手册 质量管理体系组织机构图)，并规定了各级各岗位人员职责、权限和相互关系，并在公司内对各级员工进行了必要的传达，分派各职能部门的职能(见本手册 质量管理体系职能能分配表)。同时制定了《</w:t>
      </w:r>
      <w:r>
        <w:rPr>
          <w:rFonts w:hint="eastAsia" w:ascii="宋体" w:hAnsi="宋体"/>
          <w:szCs w:val="24"/>
        </w:rPr>
        <w:t>岗位任职要求</w:t>
      </w:r>
      <w:r>
        <w:rPr>
          <w:rFonts w:hint="eastAsia" w:ascii="宋体" w:hAnsi="宋体"/>
          <w:bCs/>
          <w:szCs w:val="24"/>
        </w:rPr>
        <w:t>》，对本公司各主要岗位职责权限进行了确定。以：</w:t>
      </w:r>
    </w:p>
    <w:p>
      <w:pPr>
        <w:spacing w:line="400" w:lineRule="exact"/>
        <w:ind w:left="240" w:leftChars="100"/>
        <w:rPr>
          <w:rFonts w:ascii="宋体" w:hAnsi="宋体" w:cs="宋体"/>
          <w:szCs w:val="24"/>
        </w:rPr>
      </w:pPr>
      <w:r>
        <w:rPr>
          <w:rFonts w:hint="eastAsia" w:ascii="宋体" w:hAnsi="宋体" w:cs="宋体"/>
          <w:szCs w:val="24"/>
        </w:rPr>
        <w:t>a) 确保质量管理体系符合本标准的要求；</w:t>
      </w:r>
    </w:p>
    <w:p>
      <w:pPr>
        <w:spacing w:line="400" w:lineRule="exact"/>
        <w:ind w:left="240" w:leftChars="100"/>
        <w:rPr>
          <w:rFonts w:ascii="宋体" w:hAnsi="宋体" w:cs="宋体"/>
          <w:szCs w:val="24"/>
        </w:rPr>
      </w:pPr>
      <w:r>
        <w:rPr>
          <w:rFonts w:hint="eastAsia" w:ascii="宋体" w:hAnsi="宋体" w:cs="宋体"/>
          <w:szCs w:val="24"/>
        </w:rPr>
        <w:t>b) 确保各过程获得其预期输出；</w:t>
      </w:r>
    </w:p>
    <w:p>
      <w:pPr>
        <w:spacing w:line="400" w:lineRule="exact"/>
        <w:ind w:left="240" w:leftChars="100"/>
        <w:rPr>
          <w:rFonts w:ascii="宋体" w:hAnsi="宋体" w:cs="宋体"/>
          <w:szCs w:val="24"/>
        </w:rPr>
      </w:pPr>
      <w:r>
        <w:rPr>
          <w:rFonts w:hint="eastAsia" w:ascii="宋体" w:hAnsi="宋体" w:cs="宋体"/>
          <w:szCs w:val="24"/>
        </w:rPr>
        <w:t>c) 报告质量管理体系绩效及其改进机会（见10.1），特别向总经理报告；</w:t>
      </w:r>
    </w:p>
    <w:p>
      <w:pPr>
        <w:spacing w:line="400" w:lineRule="exact"/>
        <w:ind w:left="240" w:leftChars="100"/>
        <w:rPr>
          <w:rFonts w:ascii="宋体" w:hAnsi="宋体" w:cs="宋体"/>
          <w:szCs w:val="24"/>
        </w:rPr>
      </w:pPr>
      <w:r>
        <w:rPr>
          <w:rFonts w:hint="eastAsia" w:ascii="宋体" w:hAnsi="宋体" w:cs="宋体"/>
          <w:szCs w:val="24"/>
        </w:rPr>
        <w:t>d) 确保在整个公司推动以顾客为关注焦点；</w:t>
      </w:r>
    </w:p>
    <w:p>
      <w:pPr>
        <w:spacing w:line="400" w:lineRule="exact"/>
        <w:ind w:left="240" w:leftChars="100"/>
        <w:rPr>
          <w:rFonts w:ascii="宋体" w:hAnsi="宋体" w:cs="宋体"/>
          <w:szCs w:val="24"/>
        </w:rPr>
      </w:pPr>
      <w:r>
        <w:rPr>
          <w:rFonts w:hint="eastAsia" w:ascii="宋体" w:hAnsi="宋体" w:cs="宋体"/>
          <w:szCs w:val="24"/>
        </w:rPr>
        <w:t>e) 确保在策划和实施质量管理体系变更时，保持其完整性。</w:t>
      </w:r>
    </w:p>
    <w:p>
      <w:pPr>
        <w:spacing w:line="360" w:lineRule="auto"/>
        <w:ind w:firstLine="480" w:firstLineChars="200"/>
        <w:rPr>
          <w:rFonts w:ascii="宋体" w:hAnsi="宋体"/>
          <w:szCs w:val="24"/>
        </w:rPr>
      </w:pPr>
      <w:r>
        <w:rPr>
          <w:rFonts w:hint="eastAsia" w:ascii="宋体" w:hAnsi="宋体"/>
          <w:szCs w:val="24"/>
        </w:rPr>
        <w:t>总经理为保证质量管理体系的有效运行，规定公司内各层人员的岗位、职责和权限得到分配和理解，以确保质量管理体系各过程有效实施，具体如下：</w:t>
      </w:r>
    </w:p>
    <w:p>
      <w:pPr>
        <w:tabs>
          <w:tab w:val="left" w:pos="360"/>
          <w:tab w:val="left" w:pos="420"/>
        </w:tabs>
        <w:spacing w:line="360" w:lineRule="auto"/>
        <w:rPr>
          <w:rFonts w:ascii="宋体" w:hAnsi="宋体"/>
          <w:b/>
          <w:bCs/>
          <w:szCs w:val="24"/>
        </w:rPr>
      </w:pPr>
      <w:r>
        <w:rPr>
          <w:rFonts w:ascii="宋体" w:hAnsi="宋体"/>
          <w:b/>
          <w:bCs/>
          <w:szCs w:val="24"/>
        </w:rPr>
        <w:t>各部门职责：</w:t>
      </w:r>
    </w:p>
    <w:p>
      <w:pPr>
        <w:tabs>
          <w:tab w:val="left" w:pos="876"/>
        </w:tabs>
        <w:spacing w:line="360" w:lineRule="auto"/>
        <w:rPr>
          <w:rFonts w:ascii="宋体" w:hAnsi="宋体"/>
          <w:b/>
          <w:color w:val="000000" w:themeColor="text1"/>
          <w:szCs w:val="24"/>
          <w:shd w:val="pct10" w:color="auto" w:fill="FFFFFF"/>
        </w:rPr>
      </w:pPr>
      <w:r>
        <w:rPr>
          <w:rFonts w:ascii="宋体" w:hAnsi="宋体"/>
          <w:b/>
          <w:color w:val="000000" w:themeColor="text1"/>
          <w:szCs w:val="24"/>
        </w:rPr>
        <w:t>总经理：</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 xml:space="preserve">制定、审核和修改企业管理制度 </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制定年度管理目标和业绩指标</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建立和营造积极向上的企业文化</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合理分配公司各项资源</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为企业和股东创造最大利润</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为员工创造财富</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对企业重大事项的处理做出准确的决定</w:t>
      </w:r>
    </w:p>
    <w:p>
      <w:pPr>
        <w:numPr>
          <w:ilvl w:val="0"/>
          <w:numId w:val="5"/>
        </w:numPr>
        <w:spacing w:line="360" w:lineRule="auto"/>
        <w:rPr>
          <w:rFonts w:ascii="宋体" w:hAnsi="宋体"/>
          <w:color w:val="000000" w:themeColor="text1"/>
          <w:szCs w:val="24"/>
        </w:rPr>
      </w:pPr>
      <w:r>
        <w:rPr>
          <w:rFonts w:ascii="宋体" w:hAnsi="宋体"/>
          <w:color w:val="000000" w:themeColor="text1"/>
          <w:szCs w:val="24"/>
        </w:rPr>
        <w:t>与各相关政府主管部门保持经常性的沟通</w:t>
      </w:r>
    </w:p>
    <w:p>
      <w:pPr>
        <w:spacing w:line="360" w:lineRule="auto"/>
        <w:rPr>
          <w:rFonts w:ascii="仿宋_GB2312" w:hAnsi="宋体" w:eastAsia="仿宋_GB2312"/>
          <w:color w:val="000000" w:themeColor="text1"/>
          <w:sz w:val="28"/>
          <w:szCs w:val="28"/>
        </w:rPr>
      </w:pPr>
      <w:r>
        <w:rPr>
          <w:rFonts w:hint="eastAsia" w:ascii="仿宋_GB2312" w:hAnsi="宋体" w:eastAsia="仿宋_GB2312"/>
          <w:b/>
          <w:bCs/>
          <w:color w:val="000000" w:themeColor="text1"/>
          <w:sz w:val="28"/>
          <w:szCs w:val="28"/>
        </w:rPr>
        <w:t>办公室岗位职责</w:t>
      </w:r>
      <w:r>
        <w:rPr>
          <w:rFonts w:hint="eastAsia" w:ascii="仿宋_GB2312" w:hAnsi="宋体" w:eastAsia="仿宋_GB2312"/>
          <w:color w:val="000000" w:themeColor="text1"/>
          <w:sz w:val="28"/>
          <w:szCs w:val="28"/>
        </w:rPr>
        <w:t>：</w:t>
      </w:r>
    </w:p>
    <w:p>
      <w:pPr>
        <w:pStyle w:val="34"/>
        <w:tabs>
          <w:tab w:val="left" w:pos="1725"/>
        </w:tabs>
        <w:spacing w:after="240"/>
        <w:ind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a）主持制定公司的日常管理标准和工作标准,确保这些标准与质量管理体文件</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的相容性;归口管理公司各类文件。</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b)负责公司办公室管理,对所有从事对质量有影响的工作的人员都进行对口培训提高员工质量意识能力</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c)负责公司内部相关信息的传递和内部沟通。</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d)负责公司内部岗位职责与权限的宣贯。</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e)负责管理评审会议记录以及评审记录的归档管理。</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f)负责基础设施管理,包括工厂、设施及设备的策划,做好电力、劳动力等应急计划准备。</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g)负责处理公司有关的法律法规收集、评审、更新、传递、检查、总结汇报。</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h)公司制定年度工作综合计划,将质量方针、目标按年度分解列入计划并进行监督、检查、考核和奖惩。</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i)负责对从事特殊工序的人员资格进行考核和确认;负责公司对工序控制中的人员进行鉴定。</w:t>
      </w:r>
    </w:p>
    <w:p>
      <w:pPr>
        <w:pStyle w:val="34"/>
        <w:tabs>
          <w:tab w:val="left" w:pos="1725"/>
        </w:tabs>
        <w:spacing w:after="240"/>
        <w:ind w:left="142" w:firstLine="0" w:firstLineChars="0"/>
        <w:jc w:val="left"/>
        <w:rPr>
          <w:rFonts w:ascii="宋体" w:hAnsi="宋体" w:cs="宋体"/>
          <w:color w:val="000000" w:themeColor="text1"/>
          <w:sz w:val="24"/>
          <w:szCs w:val="24"/>
        </w:rPr>
      </w:pPr>
      <w:r>
        <w:rPr>
          <w:rFonts w:hint="eastAsia" w:ascii="宋体" w:hAnsi="宋体" w:cs="宋体"/>
          <w:color w:val="000000" w:themeColor="text1"/>
          <w:sz w:val="24"/>
          <w:szCs w:val="24"/>
        </w:rPr>
        <w:t>j)激励员工实现质量目标,提高员工的满意度和相关的福利待遇。</w:t>
      </w:r>
    </w:p>
    <w:p>
      <w:pPr>
        <w:widowControl/>
        <w:spacing w:after="240"/>
        <w:rPr>
          <w:rFonts w:ascii="宋体" w:hAnsi="宋体" w:cs="宋体"/>
          <w:color w:val="000000" w:themeColor="text1"/>
          <w:kern w:val="0"/>
          <w:szCs w:val="24"/>
        </w:rPr>
      </w:pPr>
      <w:r>
        <w:rPr>
          <w:rFonts w:hint="eastAsia" w:ascii="宋体" w:hAnsi="宋体" w:cs="宋体"/>
          <w:b/>
          <w:color w:val="000000" w:themeColor="text1"/>
          <w:kern w:val="0"/>
          <w:szCs w:val="24"/>
        </w:rPr>
        <w:t>供销部岗位职责</w:t>
      </w:r>
    </w:p>
    <w:p>
      <w:pPr>
        <w:widowControl/>
        <w:spacing w:after="240"/>
        <w:rPr>
          <w:rFonts w:ascii="宋体" w:hAnsi="宋体" w:cs="宋体"/>
          <w:color w:val="000000" w:themeColor="text1"/>
          <w:kern w:val="0"/>
          <w:szCs w:val="24"/>
        </w:rPr>
      </w:pPr>
      <w:r>
        <w:rPr>
          <w:rFonts w:ascii="宋体" w:hAnsi="宋体" w:cs="宋体"/>
          <w:color w:val="000000" w:themeColor="text1"/>
          <w:kern w:val="0"/>
          <w:szCs w:val="24"/>
        </w:rPr>
        <w:t>a</w:t>
      </w:r>
      <w:r>
        <w:rPr>
          <w:rFonts w:hint="eastAsia" w:ascii="宋体" w:hAnsi="宋体" w:cs="宋体"/>
          <w:color w:val="000000" w:themeColor="text1"/>
          <w:kern w:val="0"/>
          <w:szCs w:val="24"/>
        </w:rPr>
        <w:t>)负责对物资供方(包括外协)进行质量、价格和服务等方面评价,建立完善的合</w:t>
      </w:r>
    </w:p>
    <w:p>
      <w:pPr>
        <w:widowControl/>
        <w:spacing w:after="240"/>
        <w:rPr>
          <w:rFonts w:ascii="宋体" w:hAnsi="宋体" w:cs="宋体"/>
          <w:color w:val="000000" w:themeColor="text1"/>
          <w:kern w:val="0"/>
          <w:szCs w:val="24"/>
        </w:rPr>
      </w:pPr>
      <w:r>
        <w:rPr>
          <w:rFonts w:hint="eastAsia" w:ascii="宋体" w:hAnsi="宋体" w:cs="宋体"/>
          <w:color w:val="000000" w:themeColor="text1"/>
          <w:kern w:val="0"/>
          <w:szCs w:val="24"/>
        </w:rPr>
        <w:t>格供方档案,组织对供方评审。重要物资在合格供方范围内实施采购。</w:t>
      </w:r>
    </w:p>
    <w:p>
      <w:pPr>
        <w:widowControl/>
        <w:spacing w:after="240"/>
        <w:rPr>
          <w:rFonts w:ascii="宋体" w:hAnsi="宋体" w:cs="宋体"/>
          <w:color w:val="000000" w:themeColor="text1"/>
          <w:kern w:val="0"/>
          <w:szCs w:val="24"/>
        </w:rPr>
      </w:pPr>
      <w:r>
        <w:rPr>
          <w:rFonts w:ascii="宋体" w:hAnsi="宋体" w:cs="宋体"/>
          <w:color w:val="000000" w:themeColor="text1"/>
          <w:kern w:val="0"/>
          <w:szCs w:val="24"/>
        </w:rPr>
        <w:t>b</w:t>
      </w:r>
      <w:r>
        <w:rPr>
          <w:rFonts w:hint="eastAsia" w:ascii="宋体" w:hAnsi="宋体" w:cs="宋体"/>
          <w:color w:val="000000" w:themeColor="text1"/>
          <w:kern w:val="0"/>
          <w:szCs w:val="24"/>
        </w:rPr>
        <w:t>)负责办理采购物资报验和紧急放行手续,负责对采购物资中的不合格品进行</w:t>
      </w:r>
    </w:p>
    <w:p>
      <w:pPr>
        <w:widowControl/>
        <w:spacing w:after="240"/>
        <w:rPr>
          <w:rFonts w:ascii="宋体" w:hAnsi="宋体" w:cs="宋体"/>
          <w:color w:val="000000" w:themeColor="text1"/>
          <w:kern w:val="0"/>
          <w:szCs w:val="24"/>
        </w:rPr>
      </w:pPr>
      <w:r>
        <w:rPr>
          <w:rFonts w:hint="eastAsia" w:ascii="宋体" w:hAnsi="宋体" w:cs="宋体"/>
          <w:color w:val="000000" w:themeColor="text1"/>
          <w:kern w:val="0"/>
          <w:szCs w:val="24"/>
        </w:rPr>
        <w:t>处置和纠正预防措施的实施。</w:t>
      </w:r>
    </w:p>
    <w:p>
      <w:pPr>
        <w:widowControl/>
        <w:spacing w:after="240"/>
        <w:rPr>
          <w:rFonts w:ascii="宋体" w:hAnsi="宋体" w:cs="宋体"/>
          <w:color w:val="000000" w:themeColor="text1"/>
          <w:kern w:val="0"/>
          <w:szCs w:val="24"/>
        </w:rPr>
      </w:pPr>
      <w:r>
        <w:rPr>
          <w:rFonts w:ascii="宋体" w:hAnsi="宋体" w:cs="宋体"/>
          <w:color w:val="000000" w:themeColor="text1"/>
          <w:kern w:val="0"/>
          <w:szCs w:val="24"/>
        </w:rPr>
        <w:t>c</w:t>
      </w:r>
      <w:r>
        <w:rPr>
          <w:rFonts w:hint="eastAsia" w:ascii="宋体" w:hAnsi="宋体" w:cs="宋体"/>
          <w:color w:val="000000" w:themeColor="text1"/>
          <w:kern w:val="0"/>
          <w:szCs w:val="24"/>
        </w:rPr>
        <w:t>)负责库房管理,做好物资的入库验收、整理、保管、维护、发放和清仓盘点工</w:t>
      </w:r>
    </w:p>
    <w:p>
      <w:pPr>
        <w:widowControl/>
        <w:spacing w:after="240"/>
        <w:rPr>
          <w:rFonts w:ascii="宋体" w:hAnsi="宋体" w:cs="宋体"/>
          <w:color w:val="000000" w:themeColor="text1"/>
          <w:kern w:val="0"/>
          <w:szCs w:val="24"/>
        </w:rPr>
      </w:pPr>
      <w:r>
        <w:rPr>
          <w:rFonts w:hint="eastAsia" w:ascii="宋体" w:hAnsi="宋体" w:cs="宋体"/>
          <w:color w:val="000000" w:themeColor="text1"/>
          <w:kern w:val="0"/>
          <w:szCs w:val="24"/>
        </w:rPr>
        <w:t>作,保持账、卡、物一致。</w:t>
      </w:r>
    </w:p>
    <w:p>
      <w:pPr>
        <w:rPr>
          <w:rFonts w:ascii="宋体" w:hAnsi="宋体" w:cs="宋体"/>
          <w:color w:val="000000" w:themeColor="text1"/>
          <w:szCs w:val="24"/>
        </w:rPr>
      </w:pPr>
      <w:r>
        <w:rPr>
          <w:rFonts w:ascii="宋体" w:hAnsi="宋体" w:cs="宋体"/>
          <w:color w:val="000000" w:themeColor="text1"/>
          <w:szCs w:val="24"/>
        </w:rPr>
        <w:t>d</w:t>
      </w:r>
      <w:r>
        <w:rPr>
          <w:rFonts w:hint="eastAsia" w:ascii="宋体" w:hAnsi="宋体" w:cs="宋体"/>
          <w:color w:val="000000" w:themeColor="text1"/>
          <w:szCs w:val="24"/>
        </w:rPr>
        <w:t>)负责与产品有关要求的确定和评审,负责销售合同服务协议的签订及销售货</w:t>
      </w:r>
    </w:p>
    <w:p>
      <w:pPr>
        <w:rPr>
          <w:rFonts w:ascii="宋体" w:hAnsi="宋体" w:cs="宋体"/>
          <w:color w:val="000000" w:themeColor="text1"/>
          <w:szCs w:val="24"/>
        </w:rPr>
      </w:pPr>
    </w:p>
    <w:p>
      <w:pPr>
        <w:rPr>
          <w:rFonts w:ascii="宋体" w:hAnsi="宋体" w:cs="宋体"/>
          <w:color w:val="000000" w:themeColor="text1"/>
          <w:szCs w:val="24"/>
        </w:rPr>
      </w:pPr>
      <w:r>
        <w:rPr>
          <w:rFonts w:hint="eastAsia" w:ascii="宋体" w:hAnsi="宋体" w:cs="宋体"/>
          <w:color w:val="000000" w:themeColor="text1"/>
          <w:szCs w:val="24"/>
        </w:rPr>
        <w:t>款回笼。具有销售合同和协议的签订的权限</w:t>
      </w:r>
    </w:p>
    <w:p>
      <w:pPr>
        <w:rPr>
          <w:rFonts w:ascii="宋体" w:hAnsi="宋体" w:cs="宋体"/>
          <w:color w:val="000000" w:themeColor="text1"/>
          <w:szCs w:val="24"/>
        </w:rPr>
      </w:pPr>
    </w:p>
    <w:p>
      <w:pPr>
        <w:rPr>
          <w:rFonts w:ascii="宋体" w:hAnsi="宋体" w:cs="宋体"/>
          <w:color w:val="000000" w:themeColor="text1"/>
          <w:szCs w:val="24"/>
        </w:rPr>
      </w:pPr>
      <w:r>
        <w:rPr>
          <w:rFonts w:ascii="宋体" w:hAnsi="宋体" w:cs="宋体"/>
          <w:color w:val="000000" w:themeColor="text1"/>
          <w:szCs w:val="24"/>
        </w:rPr>
        <w:t>e</w:t>
      </w:r>
      <w:r>
        <w:rPr>
          <w:rFonts w:hint="eastAsia" w:ascii="宋体" w:hAnsi="宋体" w:cs="宋体"/>
          <w:color w:val="000000" w:themeColor="text1"/>
          <w:szCs w:val="24"/>
        </w:rPr>
        <w:t>）负责代表公司接待和记录顾客来访、来函、来电,建立用户档案,负责用户服</w:t>
      </w:r>
    </w:p>
    <w:p>
      <w:pPr>
        <w:rPr>
          <w:rFonts w:ascii="宋体" w:hAnsi="宋体" w:cs="宋体"/>
          <w:color w:val="000000" w:themeColor="text1"/>
          <w:szCs w:val="24"/>
        </w:rPr>
      </w:pPr>
    </w:p>
    <w:p>
      <w:pPr>
        <w:rPr>
          <w:rFonts w:ascii="宋体" w:hAnsi="宋体" w:cs="宋体"/>
          <w:color w:val="000000" w:themeColor="text1"/>
          <w:szCs w:val="24"/>
        </w:rPr>
      </w:pPr>
      <w:r>
        <w:rPr>
          <w:rFonts w:hint="eastAsia" w:ascii="宋体" w:hAnsi="宋体" w:cs="宋体"/>
          <w:color w:val="000000" w:themeColor="text1"/>
          <w:szCs w:val="24"/>
        </w:rPr>
        <w:t>务,组织顾客满意度调查,及时反馈和处理顾客的信息,特别是顾客的抱怨,将其</w:t>
      </w:r>
    </w:p>
    <w:p>
      <w:pPr>
        <w:rPr>
          <w:rFonts w:ascii="宋体" w:hAnsi="宋体" w:cs="宋体"/>
          <w:color w:val="000000" w:themeColor="text1"/>
          <w:szCs w:val="24"/>
        </w:rPr>
      </w:pPr>
    </w:p>
    <w:p>
      <w:pPr>
        <w:rPr>
          <w:rFonts w:ascii="宋体" w:hAnsi="宋体" w:cs="宋体"/>
          <w:color w:val="000000" w:themeColor="text1"/>
          <w:szCs w:val="24"/>
        </w:rPr>
      </w:pPr>
      <w:r>
        <w:rPr>
          <w:rFonts w:hint="eastAsia" w:ascii="宋体" w:hAnsi="宋体" w:cs="宋体"/>
          <w:color w:val="000000" w:themeColor="text1"/>
          <w:szCs w:val="24"/>
        </w:rPr>
        <w:t>传递到有关职能部门处理并进行纠正和预防措施的跟踪验证。</w:t>
      </w:r>
    </w:p>
    <w:p>
      <w:pPr>
        <w:rPr>
          <w:rFonts w:ascii="宋体" w:hAnsi="宋体" w:cs="宋体"/>
          <w:color w:val="000000" w:themeColor="text1"/>
          <w:szCs w:val="24"/>
        </w:rPr>
      </w:pPr>
    </w:p>
    <w:p>
      <w:pPr>
        <w:ind w:left="142"/>
        <w:rPr>
          <w:rFonts w:ascii="宋体" w:hAnsi="宋体" w:cs="宋体"/>
          <w:color w:val="000000" w:themeColor="text1"/>
          <w:szCs w:val="24"/>
        </w:rPr>
      </w:pPr>
      <w:r>
        <w:rPr>
          <w:rFonts w:ascii="宋体" w:hAnsi="宋体" w:cs="宋体"/>
          <w:color w:val="000000" w:themeColor="text1"/>
          <w:szCs w:val="24"/>
        </w:rPr>
        <w:t>f</w:t>
      </w:r>
      <w:r>
        <w:rPr>
          <w:rFonts w:hint="eastAsia" w:ascii="宋体" w:hAnsi="宋体" w:cs="宋体"/>
          <w:color w:val="000000" w:themeColor="text1"/>
          <w:szCs w:val="24"/>
        </w:rPr>
        <w:t>)组织市场调研,收集市场和顾客信息,并及时传送到本公司领导层和有关部</w:t>
      </w:r>
    </w:p>
    <w:p>
      <w:pPr>
        <w:ind w:left="142"/>
        <w:rPr>
          <w:rFonts w:ascii="宋体" w:hAnsi="宋体" w:cs="宋体"/>
          <w:color w:val="000000" w:themeColor="text1"/>
          <w:szCs w:val="24"/>
        </w:rPr>
      </w:pPr>
    </w:p>
    <w:p>
      <w:pPr>
        <w:ind w:left="142"/>
        <w:rPr>
          <w:rFonts w:ascii="宋体" w:hAnsi="宋体" w:cs="宋体"/>
          <w:color w:val="000000" w:themeColor="text1"/>
          <w:szCs w:val="24"/>
        </w:rPr>
      </w:pPr>
      <w:r>
        <w:rPr>
          <w:rFonts w:hint="eastAsia" w:ascii="宋体" w:hAnsi="宋体" w:cs="宋体"/>
          <w:color w:val="000000" w:themeColor="text1"/>
          <w:szCs w:val="24"/>
        </w:rPr>
        <w:t>门,研究营销策略,不断提高市场占有率。</w:t>
      </w:r>
    </w:p>
    <w:p>
      <w:pPr>
        <w:rPr>
          <w:rFonts w:ascii="宋体" w:hAnsi="宋体" w:cs="宋体"/>
          <w:color w:val="000000" w:themeColor="text1"/>
          <w:szCs w:val="24"/>
        </w:rPr>
      </w:pPr>
    </w:p>
    <w:p>
      <w:pPr>
        <w:rPr>
          <w:rFonts w:ascii="宋体" w:hAnsi="宋体" w:cs="宋体"/>
          <w:color w:val="000000" w:themeColor="text1"/>
          <w:szCs w:val="24"/>
        </w:rPr>
      </w:pPr>
      <w:r>
        <w:rPr>
          <w:rFonts w:ascii="宋体" w:hAnsi="宋体" w:cs="宋体"/>
          <w:color w:val="000000" w:themeColor="text1"/>
          <w:szCs w:val="24"/>
        </w:rPr>
        <w:t>g</w:t>
      </w:r>
      <w:r>
        <w:rPr>
          <w:rFonts w:hint="eastAsia" w:ascii="宋体" w:hAnsi="宋体" w:cs="宋体"/>
          <w:color w:val="000000" w:themeColor="text1"/>
          <w:szCs w:val="24"/>
        </w:rPr>
        <w:t>）负责产销售产品的交付和物资的运输。负责交付总量的统计。</w:t>
      </w:r>
    </w:p>
    <w:p>
      <w:pPr>
        <w:rPr>
          <w:rFonts w:ascii="宋体" w:hAnsi="宋体" w:cs="宋体"/>
          <w:color w:val="000000" w:themeColor="text1"/>
          <w:szCs w:val="24"/>
        </w:rPr>
      </w:pPr>
    </w:p>
    <w:p>
      <w:pPr>
        <w:rPr>
          <w:rFonts w:ascii="宋体" w:hAnsi="宋体" w:cs="宋体"/>
          <w:color w:val="000000" w:themeColor="text1"/>
          <w:szCs w:val="24"/>
        </w:rPr>
      </w:pPr>
      <w:r>
        <w:rPr>
          <w:rFonts w:ascii="宋体" w:hAnsi="宋体" w:cs="宋体"/>
          <w:color w:val="000000" w:themeColor="text1"/>
          <w:szCs w:val="24"/>
        </w:rPr>
        <w:t>h</w:t>
      </w:r>
      <w:r>
        <w:rPr>
          <w:rFonts w:hint="eastAsia" w:ascii="宋体" w:hAnsi="宋体" w:cs="宋体"/>
          <w:color w:val="000000" w:themeColor="text1"/>
          <w:szCs w:val="24"/>
        </w:rPr>
        <w:t>）负责顾客要求和顾客要求更改与顾客保持联络。</w:t>
      </w:r>
    </w:p>
    <w:p>
      <w:pPr>
        <w:rPr>
          <w:rFonts w:ascii="宋体" w:hAnsi="宋体" w:cs="宋体"/>
          <w:color w:val="000000" w:themeColor="text1"/>
          <w:szCs w:val="24"/>
        </w:rPr>
      </w:pPr>
    </w:p>
    <w:p>
      <w:pPr>
        <w:rPr>
          <w:rFonts w:ascii="宋体" w:hAnsi="宋体" w:cs="宋体"/>
          <w:color w:val="000000" w:themeColor="text1"/>
          <w:szCs w:val="24"/>
        </w:rPr>
      </w:pPr>
      <w:r>
        <w:rPr>
          <w:rFonts w:ascii="宋体" w:hAnsi="宋体" w:cs="宋体"/>
          <w:color w:val="000000" w:themeColor="text1"/>
          <w:szCs w:val="24"/>
        </w:rPr>
        <w:t>i</w:t>
      </w:r>
      <w:r>
        <w:rPr>
          <w:rFonts w:hint="eastAsia" w:ascii="宋体" w:hAnsi="宋体" w:cs="宋体"/>
          <w:color w:val="000000" w:themeColor="text1"/>
          <w:szCs w:val="24"/>
        </w:rPr>
        <w:t>）负责编制营销计划并传达到有关部门,监督实施情况。</w:t>
      </w:r>
    </w:p>
    <w:p>
      <w:pPr>
        <w:rPr>
          <w:rFonts w:ascii="宋体" w:hAnsi="宋体" w:cs="宋体"/>
          <w:color w:val="000000" w:themeColor="text1"/>
          <w:szCs w:val="24"/>
        </w:rPr>
      </w:pPr>
    </w:p>
    <w:p>
      <w:pPr>
        <w:rPr>
          <w:rFonts w:ascii="宋体" w:hAnsi="宋体" w:cs="宋体"/>
          <w:color w:val="000000" w:themeColor="text1"/>
          <w:szCs w:val="24"/>
        </w:rPr>
      </w:pPr>
      <w:r>
        <w:rPr>
          <w:rFonts w:ascii="宋体" w:hAnsi="宋体" w:cs="宋体"/>
          <w:color w:val="000000" w:themeColor="text1"/>
          <w:szCs w:val="24"/>
        </w:rPr>
        <w:t>j</w:t>
      </w:r>
      <w:r>
        <w:rPr>
          <w:rFonts w:hint="eastAsia" w:ascii="宋体" w:hAnsi="宋体" w:cs="宋体"/>
          <w:color w:val="000000" w:themeColor="text1"/>
          <w:szCs w:val="24"/>
        </w:rPr>
        <w:t>）负责顾客财产的登记、发放管理,发生丢失、损坏或不适用时与顾客沟通；</w:t>
      </w:r>
    </w:p>
    <w:p>
      <w:pPr>
        <w:widowControl/>
        <w:spacing w:after="240"/>
        <w:rPr>
          <w:rFonts w:ascii="宋体" w:hAnsi="宋体" w:cs="宋体"/>
          <w:b/>
          <w:color w:val="000000" w:themeColor="text1"/>
          <w:kern w:val="0"/>
          <w:szCs w:val="24"/>
        </w:rPr>
      </w:pPr>
      <w:r>
        <w:rPr>
          <w:rFonts w:hint="eastAsia" w:ascii="宋体" w:hAnsi="宋体" w:cs="宋体"/>
          <w:b/>
          <w:color w:val="000000" w:themeColor="text1"/>
          <w:kern w:val="0"/>
          <w:szCs w:val="24"/>
        </w:rPr>
        <w:t>项目部岗位职责</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a</w:t>
      </w:r>
      <w:r>
        <w:rPr>
          <w:rFonts w:hint="eastAsia" w:ascii="宋体" w:hAnsi="宋体" w:cs="宋体"/>
          <w:color w:val="000000" w:themeColor="text1"/>
          <w:kern w:val="0"/>
          <w:szCs w:val="24"/>
        </w:rPr>
        <w:t>）负责对公司销售产品过程进行技术指导和监督实施。</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b</w:t>
      </w:r>
      <w:r>
        <w:rPr>
          <w:rFonts w:hint="eastAsia" w:ascii="宋体" w:hAnsi="宋体" w:cs="宋体"/>
          <w:color w:val="000000" w:themeColor="text1"/>
          <w:kern w:val="0"/>
          <w:szCs w:val="24"/>
        </w:rPr>
        <w:t>）负责技术、工艺文件资料的制定,对产品颁发的各种设计文件、工艺文件和</w:t>
      </w:r>
    </w:p>
    <w:p>
      <w:pPr>
        <w:widowControl/>
        <w:tabs>
          <w:tab w:val="left" w:pos="1725"/>
        </w:tabs>
        <w:spacing w:after="240"/>
        <w:rPr>
          <w:rFonts w:ascii="宋体" w:hAnsi="宋体" w:cs="宋体"/>
          <w:color w:val="000000" w:themeColor="text1"/>
          <w:kern w:val="0"/>
          <w:szCs w:val="24"/>
        </w:rPr>
      </w:pPr>
      <w:r>
        <w:rPr>
          <w:rFonts w:hint="eastAsia" w:ascii="宋体" w:hAnsi="宋体" w:cs="宋体"/>
          <w:color w:val="000000" w:themeColor="text1"/>
          <w:kern w:val="0"/>
          <w:szCs w:val="24"/>
        </w:rPr>
        <w:t>技术文件标准的正确性、完整性、统一性负责。负责工艺纪律检查。</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c</w:t>
      </w:r>
      <w:r>
        <w:rPr>
          <w:rFonts w:hint="eastAsia" w:ascii="宋体" w:hAnsi="宋体" w:cs="宋体"/>
          <w:color w:val="000000" w:themeColor="text1"/>
          <w:kern w:val="0"/>
          <w:szCs w:val="24"/>
        </w:rPr>
        <w:t>）对光电材料、半导体、光伏电子产业的技术服务及技术咨询的可行性进行调查、确认并制定分析报告。</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d</w:t>
      </w:r>
      <w:r>
        <w:rPr>
          <w:rFonts w:hint="eastAsia" w:ascii="宋体" w:hAnsi="宋体" w:cs="宋体"/>
          <w:color w:val="000000" w:themeColor="text1"/>
          <w:kern w:val="0"/>
          <w:szCs w:val="24"/>
        </w:rPr>
        <w:t>）负责过程、产品、服务运行的策划及更改控制</w:t>
      </w:r>
      <w:r>
        <w:rPr>
          <w:rFonts w:ascii="宋体" w:hAnsi="宋体" w:cs="宋体"/>
          <w:color w:val="000000" w:themeColor="text1"/>
          <w:kern w:val="0"/>
          <w:szCs w:val="24"/>
        </w:rPr>
        <w:t>;</w:t>
      </w:r>
      <w:r>
        <w:rPr>
          <w:rFonts w:hint="eastAsia" w:ascii="宋体" w:hAnsi="宋体" w:cs="宋体"/>
          <w:color w:val="000000" w:themeColor="text1"/>
          <w:kern w:val="0"/>
          <w:szCs w:val="24"/>
        </w:rPr>
        <w:t>。</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e</w:t>
      </w:r>
      <w:r>
        <w:rPr>
          <w:rFonts w:hint="eastAsia" w:ascii="宋体" w:hAnsi="宋体" w:cs="宋体"/>
          <w:color w:val="000000" w:themeColor="text1"/>
          <w:kern w:val="0"/>
          <w:szCs w:val="24"/>
        </w:rPr>
        <w:t>)负责编制相应的服务指导图纸、工艺等技术文件,并指导实施。</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f</w:t>
      </w:r>
      <w:r>
        <w:rPr>
          <w:rFonts w:hint="eastAsia" w:ascii="宋体" w:hAnsi="宋体" w:cs="宋体"/>
          <w:color w:val="000000" w:themeColor="text1"/>
          <w:kern w:val="0"/>
          <w:szCs w:val="24"/>
        </w:rPr>
        <w:t>)协同项目部对顾客进行技术指导，解决产品技术问题</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g)</w:t>
      </w:r>
      <w:r>
        <w:rPr>
          <w:rFonts w:hint="eastAsia" w:ascii="宋体" w:hAnsi="宋体" w:cs="宋体"/>
          <w:color w:val="000000" w:themeColor="text1"/>
          <w:kern w:val="0"/>
          <w:szCs w:val="24"/>
        </w:rPr>
        <w:t>对公司的监视测量设备进行确定和管理；</w:t>
      </w:r>
    </w:p>
    <w:p>
      <w:pPr>
        <w:widowControl/>
        <w:tabs>
          <w:tab w:val="left" w:pos="1725"/>
        </w:tabs>
        <w:spacing w:after="240"/>
        <w:rPr>
          <w:rFonts w:ascii="宋体" w:hAnsi="宋体" w:cs="宋体"/>
          <w:color w:val="000000" w:themeColor="text1"/>
          <w:kern w:val="0"/>
          <w:szCs w:val="24"/>
        </w:rPr>
      </w:pPr>
      <w:r>
        <w:rPr>
          <w:rFonts w:ascii="宋体" w:hAnsi="宋体" w:cs="宋体"/>
          <w:color w:val="000000" w:themeColor="text1"/>
          <w:kern w:val="0"/>
          <w:szCs w:val="24"/>
        </w:rPr>
        <w:t>h)</w:t>
      </w:r>
      <w:r>
        <w:rPr>
          <w:rFonts w:hint="eastAsia" w:ascii="宋体" w:hAnsi="宋体" w:cs="宋体"/>
          <w:color w:val="000000" w:themeColor="text1"/>
          <w:kern w:val="0"/>
          <w:szCs w:val="24"/>
        </w:rPr>
        <w:t>负责公司基础设施的需要申请、维护保养和管理等工作；</w:t>
      </w:r>
    </w:p>
    <w:p>
      <w:pPr>
        <w:widowControl/>
        <w:tabs>
          <w:tab w:val="left" w:pos="1725"/>
        </w:tabs>
        <w:spacing w:after="240"/>
        <w:rPr>
          <w:rFonts w:ascii="宋体" w:hAnsi="宋体" w:cs="宋体"/>
          <w:color w:val="000000" w:themeColor="text1"/>
          <w:kern w:val="0"/>
          <w:szCs w:val="24"/>
        </w:rPr>
      </w:pPr>
      <w:r>
        <w:rPr>
          <w:rFonts w:hint="eastAsia" w:ascii="宋体" w:hAnsi="宋体" w:cs="宋体"/>
          <w:color w:val="000000" w:themeColor="text1"/>
          <w:kern w:val="0"/>
          <w:szCs w:val="24"/>
        </w:rPr>
        <w:t>i</w:t>
      </w:r>
      <w:r>
        <w:rPr>
          <w:rFonts w:ascii="宋体" w:hAnsi="宋体" w:cs="宋体"/>
          <w:color w:val="000000" w:themeColor="text1"/>
          <w:kern w:val="0"/>
          <w:szCs w:val="24"/>
        </w:rPr>
        <w:t>)</w:t>
      </w:r>
      <w:r>
        <w:rPr>
          <w:rFonts w:hint="eastAsia" w:ascii="宋体" w:hAnsi="宋体" w:cs="宋体"/>
          <w:color w:val="000000" w:themeColor="text1"/>
          <w:kern w:val="0"/>
          <w:szCs w:val="24"/>
        </w:rPr>
        <w:t>关键过程/特殊过程的确认和评价。</w:t>
      </w:r>
    </w:p>
    <w:p>
      <w:pPr>
        <w:widowControl/>
        <w:tabs>
          <w:tab w:val="left" w:pos="1725"/>
        </w:tabs>
        <w:spacing w:after="240"/>
        <w:rPr>
          <w:rFonts w:ascii="宋体" w:hAnsi="宋体" w:cs="宋体"/>
          <w:color w:val="000000" w:themeColor="text1"/>
          <w:kern w:val="0"/>
          <w:szCs w:val="24"/>
        </w:rPr>
      </w:pPr>
      <w:r>
        <w:rPr>
          <w:rFonts w:hint="eastAsia" w:ascii="宋体" w:hAnsi="宋体" w:cs="宋体"/>
          <w:color w:val="000000" w:themeColor="text1"/>
          <w:kern w:val="0"/>
          <w:szCs w:val="24"/>
        </w:rPr>
        <w:t>j</w:t>
      </w:r>
      <w:r>
        <w:rPr>
          <w:rFonts w:ascii="宋体" w:hAnsi="宋体" w:cs="宋体"/>
          <w:color w:val="000000" w:themeColor="text1"/>
          <w:kern w:val="0"/>
          <w:szCs w:val="24"/>
        </w:rPr>
        <w:t>)</w:t>
      </w:r>
      <w:r>
        <w:rPr>
          <w:rFonts w:hint="eastAsia"/>
        </w:rPr>
        <w:t xml:space="preserve"> </w:t>
      </w:r>
      <w:r>
        <w:rPr>
          <w:rFonts w:hint="eastAsia" w:ascii="宋体" w:hAnsi="宋体" w:cs="宋体"/>
          <w:color w:val="000000" w:themeColor="text1"/>
          <w:kern w:val="0"/>
          <w:szCs w:val="24"/>
        </w:rPr>
        <w:t>光电材料、半导体、光伏电子产业的设备维修过程的放行，以及过程及售后不符合的整改</w:t>
      </w:r>
    </w:p>
    <w:p>
      <w:pPr>
        <w:widowControl/>
        <w:tabs>
          <w:tab w:val="left" w:pos="1725"/>
        </w:tabs>
        <w:spacing w:after="240"/>
        <w:rPr>
          <w:rFonts w:ascii="宋体" w:hAnsi="宋体" w:cs="宋体"/>
          <w:color w:val="000000" w:themeColor="text1"/>
          <w:kern w:val="0"/>
          <w:szCs w:val="24"/>
        </w:rPr>
      </w:pPr>
      <w:r>
        <w:rPr>
          <w:rFonts w:hint="eastAsia" w:ascii="宋体" w:hAnsi="宋体" w:cs="宋体"/>
          <w:color w:val="000000" w:themeColor="text1"/>
          <w:kern w:val="0"/>
          <w:szCs w:val="24"/>
        </w:rPr>
        <w:t>k</w:t>
      </w:r>
      <w:r>
        <w:rPr>
          <w:rFonts w:ascii="宋体" w:hAnsi="宋体" w:cs="宋体"/>
          <w:color w:val="000000" w:themeColor="text1"/>
          <w:kern w:val="0"/>
          <w:szCs w:val="24"/>
        </w:rPr>
        <w:t>)</w:t>
      </w:r>
      <w:r>
        <w:rPr>
          <w:rFonts w:hint="eastAsia" w:ascii="宋体" w:hAnsi="宋体" w:cs="宋体"/>
          <w:color w:val="000000" w:themeColor="text1"/>
          <w:kern w:val="0"/>
          <w:szCs w:val="24"/>
        </w:rPr>
        <w:t>负责顾客财产的保管和防护。</w:t>
      </w:r>
    </w:p>
    <w:p>
      <w:pPr>
        <w:spacing w:line="360" w:lineRule="auto"/>
        <w:rPr>
          <w:b/>
        </w:rPr>
      </w:pPr>
      <w:r>
        <w:rPr>
          <w:rFonts w:hint="eastAsia"/>
          <w:b/>
        </w:rPr>
        <w:t>6策划</w:t>
      </w:r>
    </w:p>
    <w:p>
      <w:pPr>
        <w:spacing w:line="360" w:lineRule="auto"/>
        <w:rPr>
          <w:b/>
        </w:rPr>
      </w:pPr>
      <w:r>
        <w:rPr>
          <w:rFonts w:hint="eastAsia"/>
          <w:b/>
        </w:rPr>
        <w:t>6.1应对风险和机遇的措施</w:t>
      </w:r>
    </w:p>
    <w:p>
      <w:pPr>
        <w:spacing w:line="360" w:lineRule="auto"/>
        <w:ind w:firstLine="480" w:firstLineChars="200"/>
        <w:rPr>
          <w:shd w:val="clear" w:color="auto" w:fill="FFFFFF"/>
        </w:rPr>
      </w:pPr>
      <w:r>
        <w:rPr>
          <w:rFonts w:hint="eastAsia"/>
        </w:rPr>
        <w:t>公司应采纳“基于风险的思维”，在建立质量管理体系的过程中，识别出希望达到的目标和期望的结果。在策划的过程中，需了解可能影响这些目标和期望结果的因素，其中可包括对相关风险和机遇的识别，并考虑外部、内部环境以及利益相关方对质量管理体系达</w:t>
      </w:r>
      <w:r>
        <w:rPr>
          <w:rFonts w:hint="eastAsia"/>
          <w:shd w:val="clear" w:color="auto" w:fill="FFFFFF"/>
        </w:rPr>
        <w:t>成其目标结果的影响。在识别利益相关方的需求时，可识别质量管理体系的风险和机遇。在识别风险和机遇时，组织可关注提升正面效果，创造新机会并预防或降低不良效应。</w:t>
      </w:r>
    </w:p>
    <w:p>
      <w:pPr>
        <w:spacing w:line="360" w:lineRule="auto"/>
        <w:rPr>
          <w:shd w:val="clear" w:color="auto" w:fill="FFFFFF"/>
        </w:rPr>
      </w:pPr>
      <w:r>
        <w:rPr>
          <w:rFonts w:hint="eastAsia"/>
          <w:shd w:val="clear" w:color="auto" w:fill="FFFFFF"/>
        </w:rPr>
        <w:t xml:space="preserve">    在识别了对质量管理体系有影响的风险和机遇后，组织应开始策划控制风险及利用机遇的措施。已确认的措施计划需要纳入质量管理体系过程和组织业务过程，并评价这些措施的效果。</w:t>
      </w:r>
    </w:p>
    <w:p>
      <w:pPr>
        <w:spacing w:line="360" w:lineRule="auto"/>
        <w:rPr>
          <w:b/>
        </w:rPr>
      </w:pPr>
      <w:r>
        <w:rPr>
          <w:rFonts w:hint="eastAsia"/>
          <w:b/>
        </w:rPr>
        <w:t>6.2质量目标及其实现的策划：</w:t>
      </w:r>
    </w:p>
    <w:p>
      <w:pPr>
        <w:spacing w:line="360" w:lineRule="auto"/>
      </w:pPr>
      <w:r>
        <w:rPr>
          <w:rFonts w:hint="eastAsia"/>
        </w:rPr>
        <w:t xml:space="preserve">    质量目标的建立和质量目标的达成策划，可帮助组织达成组织目标的一致性。组织需在过程或各职能级别中设立合适的质量目标，以确保战略方向和质量方针的实施。需确保目标在过程和各职能级别是可行的。在设立目标时，可考虑组织目前的能力和制约、顾客反馈以及其他市场事宜，例如竞争者绩效、目前市场占有率等。</w:t>
      </w:r>
    </w:p>
    <w:p>
      <w:pPr>
        <w:spacing w:line="360" w:lineRule="auto"/>
        <w:ind w:firstLine="480"/>
      </w:pPr>
      <w:r>
        <w:rPr>
          <w:rFonts w:hint="eastAsia"/>
        </w:rPr>
        <w:t>组织应保持与质量目标相关的形成文件信息。对绩效进行评价以判断目标是否实现良好的管理实践。质量目标应进行必要的更新，以对目前质量目标进行变更或修订，和增加附件或新的目标。</w:t>
      </w:r>
    </w:p>
    <w:p>
      <w:pPr>
        <w:spacing w:line="360" w:lineRule="auto"/>
        <w:textAlignment w:val="auto"/>
        <w:rPr>
          <w:b/>
          <w:szCs w:val="24"/>
        </w:rPr>
      </w:pPr>
      <w:r>
        <w:rPr>
          <w:rFonts w:hint="eastAsia"/>
          <w:b/>
          <w:bCs/>
        </w:rPr>
        <w:t>本公司质量目标：</w:t>
      </w:r>
    </w:p>
    <w:p>
      <w:pPr>
        <w:spacing w:line="360" w:lineRule="auto"/>
        <w:rPr>
          <w:rFonts w:ascii="宋体" w:hAnsi="宋体" w:cs="宋体"/>
          <w:b/>
          <w:color w:val="FF0000"/>
          <w:szCs w:val="24"/>
        </w:rPr>
      </w:pPr>
      <w:r>
        <w:rPr>
          <w:b/>
          <w:color w:val="FF0000"/>
          <w:szCs w:val="24"/>
        </w:rPr>
        <w:t>1.</w:t>
      </w:r>
      <w:r>
        <w:rPr>
          <w:rFonts w:hint="eastAsia"/>
          <w:b/>
          <w:color w:val="FF0000"/>
          <w:szCs w:val="24"/>
        </w:rPr>
        <w:t>一次交付合格率≥</w:t>
      </w:r>
      <w:r>
        <w:rPr>
          <w:b/>
          <w:color w:val="FF0000"/>
          <w:szCs w:val="24"/>
        </w:rPr>
        <w:t xml:space="preserve">98%    </w:t>
      </w:r>
      <w:r>
        <w:rPr>
          <w:rFonts w:hint="eastAsia" w:ascii="宋体" w:hAnsi="宋体" w:cs="宋体"/>
          <w:b/>
          <w:color w:val="FF0000"/>
          <w:szCs w:val="24"/>
        </w:rPr>
        <w:t>2.顾客满意度</w:t>
      </w:r>
      <m:oMath>
        <m:r>
          <m:rPr>
            <m:sty m:val="b"/>
          </m:rPr>
          <w:rPr>
            <w:rFonts w:hint="eastAsia" w:ascii="Cambria Math" w:hAnsi="Cambria Math" w:cs="宋体"/>
            <w:color w:val="FF0000"/>
            <w:szCs w:val="24"/>
          </w:rPr>
          <m:t>≥</m:t>
        </m:r>
      </m:oMath>
      <w:r>
        <w:rPr>
          <w:rFonts w:hint="eastAsia" w:ascii="宋体" w:hAnsi="宋体" w:cs="宋体"/>
          <w:b/>
          <w:color w:val="FF0000"/>
          <w:szCs w:val="24"/>
        </w:rPr>
        <w:t>90%</w:t>
      </w:r>
      <w:r>
        <w:rPr>
          <w:rFonts w:ascii="宋体" w:hAnsi="宋体" w:cs="宋体"/>
          <w:b/>
          <w:color w:val="FF0000"/>
          <w:szCs w:val="24"/>
        </w:rPr>
        <w:t xml:space="preserve"> </w:t>
      </w:r>
    </w:p>
    <w:p>
      <w:pPr>
        <w:spacing w:line="360" w:lineRule="auto"/>
      </w:pPr>
      <w:r>
        <w:rPr>
          <w:rFonts w:hint="eastAsia"/>
        </w:rPr>
        <w:t xml:space="preserve">    组织还需识别谁去完成目标，并确保有充足的资源可提供，以及完成时间和如何评价结果。</w:t>
      </w:r>
    </w:p>
    <w:p>
      <w:pPr>
        <w:spacing w:line="360" w:lineRule="auto"/>
        <w:rPr>
          <w:b/>
        </w:rPr>
      </w:pPr>
      <w:r>
        <w:rPr>
          <w:rFonts w:hint="eastAsia"/>
          <w:b/>
        </w:rPr>
        <w:t>6.3变更的策划：</w:t>
      </w:r>
    </w:p>
    <w:p>
      <w:pPr>
        <w:spacing w:line="360" w:lineRule="auto"/>
        <w:ind w:firstLine="465"/>
      </w:pPr>
      <w:r>
        <w:rPr>
          <w:rFonts w:hint="eastAsia"/>
        </w:rPr>
        <w:t>在策划质量管理体系的必要变更时，应提前预防变更造成的不良影响，比确保在可控条件下进行。组织可通过多种途径识别变更的需求，例如管理评审、审核结果、不符合项评审、投诉分析、过程绩效分析、组织环境变化、顾客及利益相关方的需求变更等。组织需要对质量管理体系变更进行评估，因为它可能影响组织持续、稳定提供满足顾客和法律要求的产品和服务，以及提高顾客满意度的能力。</w:t>
      </w:r>
    </w:p>
    <w:p>
      <w:pPr>
        <w:spacing w:line="360" w:lineRule="auto"/>
        <w:rPr>
          <w:b/>
        </w:rPr>
      </w:pPr>
      <w:r>
        <w:rPr>
          <w:rFonts w:hint="eastAsia"/>
          <w:b/>
        </w:rPr>
        <w:t>7支持</w:t>
      </w:r>
    </w:p>
    <w:p>
      <w:pPr>
        <w:spacing w:line="360" w:lineRule="auto"/>
        <w:rPr>
          <w:b/>
        </w:rPr>
      </w:pPr>
      <w:r>
        <w:rPr>
          <w:rFonts w:hint="eastAsia"/>
          <w:b/>
        </w:rPr>
        <w:t>7.1资源</w:t>
      </w:r>
    </w:p>
    <w:p>
      <w:pPr>
        <w:spacing w:line="360" w:lineRule="auto"/>
        <w:rPr>
          <w:b/>
        </w:rPr>
      </w:pPr>
      <w:r>
        <w:rPr>
          <w:rFonts w:hint="eastAsia"/>
          <w:b/>
        </w:rPr>
        <w:t>7.1.1总则</w:t>
      </w:r>
    </w:p>
    <w:p>
      <w:pPr>
        <w:spacing w:line="360" w:lineRule="auto"/>
        <w:ind w:left="240" w:hanging="240" w:hangingChars="100"/>
        <w:rPr>
          <w:rFonts w:ascii="宋体" w:hAnsi="宋体"/>
          <w:szCs w:val="24"/>
        </w:rPr>
      </w:pPr>
      <w:r>
        <w:rPr>
          <w:rFonts w:hint="eastAsia" w:ascii="宋体" w:hAnsi="宋体"/>
          <w:szCs w:val="24"/>
        </w:rPr>
        <w:t xml:space="preserve">公司应确定并提供为建立、实施、保持和持续改进质量管理体系所需的资源（包括公司应确定并提供应对风险和利用机遇的必要资源）。应考虑：  </w:t>
      </w:r>
    </w:p>
    <w:p>
      <w:pPr>
        <w:spacing w:line="360" w:lineRule="auto"/>
        <w:ind w:left="1"/>
        <w:rPr>
          <w:rFonts w:ascii="宋体" w:hAnsi="宋体"/>
          <w:szCs w:val="24"/>
        </w:rPr>
      </w:pPr>
      <w:r>
        <w:rPr>
          <w:rFonts w:hint="eastAsia" w:ascii="宋体" w:hAnsi="宋体"/>
          <w:szCs w:val="24"/>
        </w:rPr>
        <w:t xml:space="preserve">        a) 现有内部资源的能力和约束；  </w:t>
      </w:r>
    </w:p>
    <w:p>
      <w:pPr>
        <w:spacing w:line="360" w:lineRule="auto"/>
      </w:pPr>
      <w:r>
        <w:rPr>
          <w:rFonts w:hint="eastAsia" w:ascii="宋体" w:hAnsi="宋体"/>
          <w:szCs w:val="24"/>
        </w:rPr>
        <w:t xml:space="preserve">        b) 需要从外部供方获得的资源</w:t>
      </w:r>
      <w:r>
        <w:rPr>
          <w:rFonts w:hint="eastAsia"/>
        </w:rPr>
        <w:t>。</w:t>
      </w:r>
    </w:p>
    <w:p>
      <w:pPr>
        <w:spacing w:line="360" w:lineRule="auto"/>
        <w:rPr>
          <w:b/>
        </w:rPr>
      </w:pPr>
      <w:r>
        <w:rPr>
          <w:rFonts w:hint="eastAsia"/>
          <w:b/>
        </w:rPr>
        <w:t>7.1.2人员</w:t>
      </w:r>
    </w:p>
    <w:p>
      <w:pPr>
        <w:spacing w:line="360" w:lineRule="auto"/>
      </w:pPr>
      <w:r>
        <w:rPr>
          <w:rFonts w:hint="eastAsia" w:ascii="宋体" w:hAnsi="宋体"/>
          <w:szCs w:val="24"/>
        </w:rPr>
        <w:t>办公室确定并配备所需要的人员，以有效实施质量管理体系并运行和控制其过程。以满足客户要求，增强客户满意</w:t>
      </w:r>
      <w:r>
        <w:rPr>
          <w:rFonts w:hint="eastAsia"/>
        </w:rPr>
        <w:t>。</w:t>
      </w:r>
    </w:p>
    <w:p>
      <w:pPr>
        <w:spacing w:line="360" w:lineRule="auto"/>
        <w:rPr>
          <w:b/>
        </w:rPr>
      </w:pPr>
      <w:r>
        <w:rPr>
          <w:rFonts w:hint="eastAsia"/>
          <w:b/>
        </w:rPr>
        <w:t>7.1.3基础设施</w:t>
      </w:r>
    </w:p>
    <w:p>
      <w:pPr>
        <w:spacing w:line="360" w:lineRule="auto"/>
        <w:ind w:left="1"/>
        <w:rPr>
          <w:rFonts w:ascii="宋体" w:hAnsi="宋体"/>
          <w:szCs w:val="24"/>
        </w:rPr>
      </w:pPr>
      <w:r>
        <w:rPr>
          <w:rFonts w:hint="eastAsia" w:ascii="宋体" w:hAnsi="宋体"/>
          <w:szCs w:val="24"/>
        </w:rPr>
        <w:t>为确保产品符合要求，公司提供、配置和维护过程运行所需的基础设施。</w:t>
      </w:r>
      <w:r>
        <w:rPr>
          <w:rFonts w:hint="eastAsia" w:ascii="宋体" w:hAnsi="宋体"/>
          <w:b/>
          <w:bCs/>
          <w:szCs w:val="24"/>
        </w:rPr>
        <w:t>项目部</w:t>
      </w:r>
      <w:r>
        <w:rPr>
          <w:rFonts w:hint="eastAsia" w:ascii="宋体" w:hAnsi="宋体"/>
          <w:szCs w:val="24"/>
        </w:rPr>
        <w:t>制定《</w:t>
      </w:r>
      <w:r>
        <w:rPr>
          <w:rFonts w:hint="eastAsia" w:ascii="宋体" w:hAnsi="宋体"/>
          <w:b/>
          <w:szCs w:val="24"/>
        </w:rPr>
        <w:t>设备维护保养控制程序</w:t>
      </w:r>
      <w:r>
        <w:rPr>
          <w:rFonts w:hint="eastAsia" w:ascii="宋体" w:hAnsi="宋体"/>
          <w:szCs w:val="24"/>
        </w:rPr>
        <w:t xml:space="preserve">》包括：  </w:t>
      </w:r>
    </w:p>
    <w:p>
      <w:pPr>
        <w:pStyle w:val="34"/>
        <w:numPr>
          <w:ilvl w:val="0"/>
          <w:numId w:val="6"/>
        </w:numPr>
        <w:spacing w:line="360" w:lineRule="auto"/>
        <w:ind w:firstLineChars="0"/>
        <w:rPr>
          <w:rFonts w:ascii="宋体" w:hAnsi="宋体"/>
          <w:szCs w:val="24"/>
        </w:rPr>
      </w:pPr>
      <w:r>
        <w:rPr>
          <w:rFonts w:hint="eastAsia" w:ascii="宋体" w:hAnsi="宋体"/>
          <w:szCs w:val="24"/>
        </w:rPr>
        <w:t xml:space="preserve">建筑物和相关设施；  </w:t>
      </w:r>
    </w:p>
    <w:p>
      <w:pPr>
        <w:pStyle w:val="34"/>
        <w:numPr>
          <w:ilvl w:val="0"/>
          <w:numId w:val="6"/>
        </w:numPr>
        <w:spacing w:line="360" w:lineRule="auto"/>
        <w:ind w:firstLineChars="0"/>
        <w:rPr>
          <w:rFonts w:ascii="宋体" w:hAnsi="宋体"/>
          <w:szCs w:val="24"/>
        </w:rPr>
      </w:pPr>
      <w:r>
        <w:rPr>
          <w:rFonts w:hint="eastAsia" w:ascii="宋体" w:hAnsi="宋体"/>
          <w:szCs w:val="24"/>
        </w:rPr>
        <w:t>光电材料、半导体、光伏电子产业的设备维修的相关设备和工具</w:t>
      </w:r>
    </w:p>
    <w:p>
      <w:pPr>
        <w:spacing w:line="360" w:lineRule="auto"/>
        <w:ind w:left="1"/>
        <w:rPr>
          <w:rFonts w:ascii="宋体" w:hAnsi="宋体"/>
          <w:szCs w:val="24"/>
        </w:rPr>
      </w:pPr>
      <w:r>
        <w:rPr>
          <w:rFonts w:hint="eastAsia" w:ascii="宋体" w:hAnsi="宋体"/>
          <w:szCs w:val="24"/>
        </w:rPr>
        <w:t xml:space="preserve">       </w:t>
      </w:r>
      <w:r>
        <w:rPr>
          <w:rFonts w:ascii="宋体" w:hAnsi="宋体"/>
          <w:szCs w:val="24"/>
        </w:rPr>
        <w:t>c</w:t>
      </w:r>
      <w:r>
        <w:rPr>
          <w:rFonts w:hint="eastAsia" w:ascii="宋体" w:hAnsi="宋体"/>
          <w:szCs w:val="24"/>
        </w:rPr>
        <w:t xml:space="preserve">）、包括硬件和软件（电脑、网络、电话、打印机等）；  </w:t>
      </w:r>
    </w:p>
    <w:p>
      <w:pPr>
        <w:spacing w:line="360" w:lineRule="auto"/>
        <w:ind w:left="1"/>
        <w:rPr>
          <w:rFonts w:ascii="宋体" w:hAnsi="宋体"/>
          <w:szCs w:val="24"/>
        </w:rPr>
      </w:pPr>
      <w:r>
        <w:rPr>
          <w:rFonts w:hint="eastAsia" w:ascii="宋体" w:hAnsi="宋体"/>
          <w:szCs w:val="24"/>
        </w:rPr>
        <w:t xml:space="preserve">       </w:t>
      </w:r>
      <w:r>
        <w:rPr>
          <w:rFonts w:ascii="宋体" w:hAnsi="宋体"/>
          <w:szCs w:val="24"/>
        </w:rPr>
        <w:t>d</w:t>
      </w:r>
      <w:r>
        <w:rPr>
          <w:rFonts w:hint="eastAsia" w:ascii="宋体" w:hAnsi="宋体"/>
          <w:szCs w:val="24"/>
        </w:rPr>
        <w:t xml:space="preserve">）运输车辆；  </w:t>
      </w:r>
    </w:p>
    <w:p>
      <w:pPr>
        <w:tabs>
          <w:tab w:val="left" w:pos="210"/>
        </w:tabs>
        <w:spacing w:line="360" w:lineRule="auto"/>
      </w:pPr>
      <w:r>
        <w:rPr>
          <w:rFonts w:hint="eastAsia" w:ascii="宋体" w:hAnsi="宋体"/>
          <w:szCs w:val="24"/>
        </w:rPr>
        <w:t xml:space="preserve">       </w:t>
      </w:r>
      <w:r>
        <w:rPr>
          <w:rFonts w:ascii="宋体" w:hAnsi="宋体"/>
          <w:szCs w:val="24"/>
        </w:rPr>
        <w:t>e</w:t>
      </w:r>
      <w:r>
        <w:rPr>
          <w:rFonts w:hint="eastAsia" w:ascii="宋体" w:hAnsi="宋体"/>
          <w:szCs w:val="24"/>
        </w:rPr>
        <w:t>）信息和通迅技术</w:t>
      </w:r>
      <w:r>
        <w:rPr>
          <w:rFonts w:hint="eastAsia"/>
        </w:rPr>
        <w:t>。</w:t>
      </w:r>
    </w:p>
    <w:p>
      <w:pPr>
        <w:tabs>
          <w:tab w:val="left" w:pos="210"/>
        </w:tabs>
        <w:spacing w:line="360" w:lineRule="auto"/>
      </w:pPr>
      <w:r>
        <w:rPr>
          <w:rFonts w:hint="eastAsia"/>
        </w:rPr>
        <w:t xml:space="preserve"> </w:t>
      </w:r>
      <w:r>
        <w:t xml:space="preserve">      </w:t>
      </w:r>
    </w:p>
    <w:p>
      <w:pPr>
        <w:tabs>
          <w:tab w:val="left" w:pos="210"/>
        </w:tabs>
        <w:spacing w:line="360" w:lineRule="auto"/>
        <w:rPr>
          <w:b/>
        </w:rPr>
      </w:pPr>
      <w:r>
        <w:rPr>
          <w:rFonts w:hint="eastAsia"/>
          <w:b/>
        </w:rPr>
        <w:t>7.1.4过程运行环境：</w:t>
      </w:r>
    </w:p>
    <w:p>
      <w:pPr>
        <w:tabs>
          <w:tab w:val="left" w:pos="210"/>
        </w:tabs>
        <w:spacing w:line="360" w:lineRule="auto"/>
      </w:pPr>
      <w:r>
        <w:rPr>
          <w:rFonts w:hint="eastAsia"/>
        </w:rPr>
        <w:t>办公室根据生产和服务的特点，确定、提供并维护过程运行所需要的环境。</w:t>
      </w:r>
    </w:p>
    <w:p>
      <w:pPr>
        <w:tabs>
          <w:tab w:val="left" w:pos="210"/>
        </w:tabs>
        <w:spacing w:line="360" w:lineRule="auto"/>
      </w:pPr>
      <w:r>
        <w:rPr>
          <w:rFonts w:hint="eastAsia"/>
        </w:rPr>
        <w:t>适当的过程运行环境可能是人为因素与物理因素的结合，例如：</w:t>
      </w:r>
    </w:p>
    <w:p>
      <w:pPr>
        <w:tabs>
          <w:tab w:val="left" w:pos="210"/>
        </w:tabs>
        <w:spacing w:line="360" w:lineRule="auto"/>
      </w:pPr>
      <w:r>
        <w:rPr>
          <w:rFonts w:hint="eastAsia"/>
        </w:rPr>
        <w:t xml:space="preserve">       a) 物理因素：包括温度、湿度、照明、空间、噪声、静电防护、清洁度等；</w:t>
      </w:r>
    </w:p>
    <w:p>
      <w:pPr>
        <w:tabs>
          <w:tab w:val="left" w:pos="210"/>
        </w:tabs>
        <w:spacing w:line="360" w:lineRule="auto"/>
      </w:pPr>
      <w:r>
        <w:rPr>
          <w:rFonts w:hint="eastAsia"/>
        </w:rPr>
        <w:t xml:space="preserve">       b) 心理因素：如心理压力、过度疲劳、个人情感；</w:t>
      </w:r>
    </w:p>
    <w:p>
      <w:pPr>
        <w:tabs>
          <w:tab w:val="left" w:pos="210"/>
        </w:tabs>
        <w:spacing w:line="360" w:lineRule="auto"/>
      </w:pPr>
      <w:r>
        <w:rPr>
          <w:rFonts w:hint="eastAsia"/>
        </w:rPr>
        <w:t xml:space="preserve">       c) 社会因素：如无歧视、和谐、无对抗。</w:t>
      </w:r>
    </w:p>
    <w:p>
      <w:pPr>
        <w:tabs>
          <w:tab w:val="left" w:pos="210"/>
        </w:tabs>
        <w:spacing w:line="360" w:lineRule="auto"/>
      </w:pPr>
      <w:r>
        <w:rPr>
          <w:rFonts w:hint="eastAsia"/>
        </w:rPr>
        <w:t xml:space="preserve">    公司应为实现产品符合性创造良好的工作条件并实施管理；服务/服务现场应做到主干道畅通，作业区环境整洁，堆放整齐有序，各种状态清晰，配置必要的通风、服务设备的等。办公室可会同有关部门，定期对物理因素、社会因素、心理因素等进行检查。</w:t>
      </w:r>
    </w:p>
    <w:p>
      <w:pPr>
        <w:tabs>
          <w:tab w:val="left" w:pos="210"/>
        </w:tabs>
        <w:spacing w:line="360" w:lineRule="auto"/>
        <w:rPr>
          <w:b/>
        </w:rPr>
      </w:pPr>
      <w:r>
        <w:rPr>
          <w:rFonts w:hint="eastAsia"/>
          <w:b/>
        </w:rPr>
        <w:t>7.1.5监视和测量资源</w:t>
      </w:r>
    </w:p>
    <w:p>
      <w:pPr>
        <w:spacing w:line="420" w:lineRule="exact"/>
        <w:ind w:left="1"/>
        <w:rPr>
          <w:rFonts w:ascii="宋体" w:hAnsi="宋体"/>
          <w:szCs w:val="24"/>
        </w:rPr>
      </w:pPr>
      <w:r>
        <w:rPr>
          <w:rFonts w:hint="eastAsia" w:ascii="宋体" w:hAnsi="宋体"/>
          <w:szCs w:val="24"/>
        </w:rPr>
        <w:t>7.1.5.1为了确保产品/服务输出满足预期结果，项目部应确定需要监视或测量的活动，并提供所需的资源。包括：</w:t>
      </w:r>
    </w:p>
    <w:p>
      <w:pPr>
        <w:spacing w:line="420" w:lineRule="exact"/>
        <w:ind w:left="1" w:firstLine="720" w:firstLineChars="300"/>
        <w:rPr>
          <w:rFonts w:ascii="宋体" w:hAnsi="宋体"/>
          <w:szCs w:val="24"/>
        </w:rPr>
      </w:pPr>
      <w:r>
        <w:rPr>
          <w:rFonts w:hint="eastAsia" w:ascii="宋体" w:hAnsi="宋体"/>
          <w:szCs w:val="24"/>
        </w:rPr>
        <w:t xml:space="preserve">a）适合特定类型的监视和测量活动；  </w:t>
      </w:r>
    </w:p>
    <w:p>
      <w:pPr>
        <w:spacing w:line="420" w:lineRule="exact"/>
        <w:ind w:left="1" w:firstLine="720" w:firstLineChars="300"/>
        <w:rPr>
          <w:rFonts w:ascii="宋体" w:hAnsi="宋体"/>
          <w:szCs w:val="24"/>
        </w:rPr>
      </w:pPr>
      <w:r>
        <w:rPr>
          <w:rFonts w:hint="eastAsia" w:ascii="宋体" w:hAnsi="宋体"/>
          <w:szCs w:val="24"/>
        </w:rPr>
        <w:t xml:space="preserve">b）监测设备得到适当的维护，以确保持续适合其用途。  </w:t>
      </w:r>
    </w:p>
    <w:p>
      <w:pPr>
        <w:spacing w:line="420" w:lineRule="exact"/>
        <w:ind w:left="1" w:firstLine="240" w:firstLineChars="100"/>
        <w:rPr>
          <w:rFonts w:ascii="宋体" w:hAnsi="宋体"/>
          <w:szCs w:val="24"/>
        </w:rPr>
      </w:pPr>
      <w:r>
        <w:rPr>
          <w:rFonts w:hint="eastAsia" w:ascii="宋体" w:hAnsi="宋体"/>
          <w:szCs w:val="24"/>
        </w:rPr>
        <w:t>7.1.5.2 测量溯源</w:t>
      </w:r>
    </w:p>
    <w:p>
      <w:pPr>
        <w:spacing w:line="420" w:lineRule="exact"/>
        <w:ind w:left="1"/>
        <w:rPr>
          <w:rFonts w:ascii="宋体" w:hAnsi="宋体"/>
          <w:szCs w:val="24"/>
        </w:rPr>
      </w:pPr>
      <w:r>
        <w:rPr>
          <w:rFonts w:hint="eastAsia" w:ascii="宋体" w:hAnsi="宋体"/>
          <w:szCs w:val="24"/>
        </w:rPr>
        <w:t xml:space="preserve">      a) 项目部提出监视和测量资源的配置要求和采购申请（包括：申请理由、监视和测量仪器设备名称、规格型号、精确度或精密度、数量等），经总经理批准后实施采购。</w:t>
      </w:r>
    </w:p>
    <w:p>
      <w:pPr>
        <w:spacing w:line="420" w:lineRule="exact"/>
        <w:ind w:left="1" w:firstLine="720" w:firstLineChars="300"/>
        <w:rPr>
          <w:rFonts w:ascii="宋体" w:hAnsi="宋体"/>
          <w:szCs w:val="24"/>
        </w:rPr>
      </w:pPr>
      <w:r>
        <w:rPr>
          <w:rFonts w:hint="eastAsia" w:ascii="宋体" w:hAnsi="宋体"/>
          <w:szCs w:val="24"/>
        </w:rPr>
        <w:t>b) 监视和测量仪器设备到公司后，应进行校准；无校准能力的可委托经评定合格的计量检定单位校准，其中自制专用的监视和测量仪器设备由检验员按要求进行验收。测量仪器设备应对照能够溯源到国际或国家标准的测量标准，按照规定的时间间隔或在使用前进行校准和验证。当不存在上述标准时，应记录校准或验证的依据。</w:t>
      </w:r>
    </w:p>
    <w:p>
      <w:pPr>
        <w:spacing w:line="420" w:lineRule="exact"/>
        <w:ind w:left="1" w:firstLine="720" w:firstLineChars="300"/>
        <w:rPr>
          <w:rFonts w:ascii="宋体" w:hAnsi="宋体"/>
          <w:szCs w:val="24"/>
        </w:rPr>
      </w:pPr>
      <w:r>
        <w:rPr>
          <w:rFonts w:hint="eastAsia" w:ascii="宋体" w:hAnsi="宋体"/>
          <w:szCs w:val="24"/>
        </w:rPr>
        <w:t>c) 校准合格的检测设备要做好校准合格的标识，登记入帐才能提供使用。</w:t>
      </w:r>
    </w:p>
    <w:p>
      <w:pPr>
        <w:spacing w:line="420" w:lineRule="exact"/>
        <w:ind w:left="1" w:firstLine="720" w:firstLineChars="300"/>
        <w:rPr>
          <w:rFonts w:ascii="宋体" w:hAnsi="宋体"/>
          <w:szCs w:val="24"/>
        </w:rPr>
      </w:pPr>
      <w:r>
        <w:rPr>
          <w:rFonts w:hint="eastAsia" w:ascii="宋体" w:hAnsi="宋体"/>
          <w:szCs w:val="24"/>
        </w:rPr>
        <w:t>d) 能够识别，以确定其校准状态</w:t>
      </w:r>
    </w:p>
    <w:p>
      <w:pPr>
        <w:spacing w:line="420" w:lineRule="exact"/>
        <w:ind w:left="1" w:firstLine="720" w:firstLineChars="300"/>
        <w:rPr>
          <w:rFonts w:ascii="宋体" w:hAnsi="宋体"/>
          <w:szCs w:val="24"/>
        </w:rPr>
      </w:pPr>
      <w:r>
        <w:rPr>
          <w:rFonts w:hint="eastAsia" w:ascii="宋体" w:hAnsi="宋体"/>
          <w:szCs w:val="24"/>
        </w:rPr>
        <w:t>e) 予以保护，防止可能使校准状态和随后的测量结果失效的调整、损坏或劣化。当发现测量仪器设备不符合预期用途时，应确定以往测量结果的有效性是否受到不利影响， 必要时采取适当的措施。</w:t>
      </w:r>
    </w:p>
    <w:p>
      <w:pPr>
        <w:spacing w:line="420" w:lineRule="exact"/>
        <w:ind w:left="1" w:firstLine="720" w:firstLineChars="300"/>
        <w:rPr>
          <w:rFonts w:ascii="宋体" w:hAnsi="宋体"/>
          <w:szCs w:val="24"/>
        </w:rPr>
      </w:pPr>
      <w:r>
        <w:rPr>
          <w:rFonts w:hint="eastAsia" w:ascii="宋体" w:hAnsi="宋体"/>
          <w:szCs w:val="24"/>
        </w:rPr>
        <w:t>f)项目部负责编制监视和测量仪器设备的周期检定计划，经总经理批准后，负责按计划进行检定、校准和调整或委外检定；并保存检定和校准记录。</w:t>
      </w:r>
    </w:p>
    <w:p>
      <w:pPr>
        <w:spacing w:line="420" w:lineRule="exact"/>
        <w:ind w:left="1"/>
        <w:rPr>
          <w:rFonts w:ascii="宋体" w:hAnsi="宋体"/>
          <w:szCs w:val="24"/>
        </w:rPr>
      </w:pPr>
      <w:r>
        <w:rPr>
          <w:rFonts w:hint="eastAsia" w:ascii="宋体" w:hAnsi="宋体"/>
          <w:szCs w:val="24"/>
        </w:rPr>
        <w:t xml:space="preserve">      g) 项目部负责检查的光电材料、半导体、光伏电子产业的设备维修现场所使用的监视和测量仪器设备的使用及完好状况，并检查校准合格的状态标识。</w:t>
      </w:r>
    </w:p>
    <w:p>
      <w:pPr>
        <w:spacing w:line="360" w:lineRule="auto"/>
        <w:ind w:firstLine="480" w:firstLineChars="200"/>
      </w:pPr>
      <w:r>
        <w:rPr>
          <w:rFonts w:hint="eastAsia" w:ascii="宋体" w:hAnsi="宋体"/>
          <w:szCs w:val="24"/>
        </w:rPr>
        <w:t>项目部负责保留监视和测量资源的技术资料和检定、校准的信息</w:t>
      </w:r>
      <w:r>
        <w:rPr>
          <w:rFonts w:hint="eastAsia"/>
        </w:rPr>
        <w:t>。</w:t>
      </w:r>
    </w:p>
    <w:p>
      <w:pPr>
        <w:spacing w:line="360" w:lineRule="auto"/>
        <w:rPr>
          <w:b/>
        </w:rPr>
      </w:pPr>
      <w:r>
        <w:rPr>
          <w:rFonts w:hint="eastAsia"/>
          <w:b/>
        </w:rPr>
        <w:t>7.1.6组织的知识</w:t>
      </w:r>
    </w:p>
    <w:p>
      <w:pPr>
        <w:spacing w:line="420" w:lineRule="exact"/>
        <w:ind w:left="240" w:hanging="240" w:hangingChars="100"/>
        <w:rPr>
          <w:rFonts w:ascii="宋体" w:hAnsi="宋体"/>
          <w:szCs w:val="24"/>
        </w:rPr>
      </w:pPr>
      <w:r>
        <w:rPr>
          <w:rFonts w:hint="eastAsia" w:ascii="宋体" w:hAnsi="宋体"/>
          <w:szCs w:val="24"/>
        </w:rPr>
        <w:t xml:space="preserve">公司为获得合格的产品和服务，各部门应确定运行过程中所需的内部和外部的知识。这些知识应予以保持，并在需要范围内可得到。  </w:t>
      </w:r>
    </w:p>
    <w:p>
      <w:pPr>
        <w:spacing w:line="420" w:lineRule="exact"/>
        <w:ind w:left="240" w:hanging="240" w:hangingChars="100"/>
        <w:rPr>
          <w:rFonts w:ascii="宋体" w:hAnsi="宋体"/>
          <w:szCs w:val="24"/>
        </w:rPr>
      </w:pPr>
      <w:r>
        <w:rPr>
          <w:rFonts w:hint="eastAsia" w:ascii="宋体" w:hAnsi="宋体"/>
          <w:szCs w:val="24"/>
        </w:rPr>
        <w:t xml:space="preserve">     为应对不断变化的需求和发展趋势，各个部门应考虑现有的知识，确定如何获取更多必要的知识，并进行更新。知识来源包括： </w:t>
      </w:r>
    </w:p>
    <w:p>
      <w:pPr>
        <w:spacing w:line="420" w:lineRule="exact"/>
        <w:ind w:left="1"/>
        <w:rPr>
          <w:rFonts w:ascii="宋体" w:hAnsi="宋体"/>
          <w:szCs w:val="24"/>
        </w:rPr>
      </w:pPr>
      <w:r>
        <w:rPr>
          <w:rFonts w:hint="eastAsia" w:ascii="宋体" w:hAnsi="宋体"/>
          <w:szCs w:val="24"/>
        </w:rPr>
        <w:t xml:space="preserve">     a）内部来源：知识产权、经历、从失败和成功项目得到的经验教训、得到和分享未形成文件的知识和经验，过程、产品的改进结果；  </w:t>
      </w:r>
    </w:p>
    <w:p>
      <w:pPr>
        <w:spacing w:line="360" w:lineRule="auto"/>
        <w:ind w:firstLine="600" w:firstLineChars="250"/>
      </w:pPr>
      <w:r>
        <w:rPr>
          <w:rFonts w:hint="eastAsia" w:ascii="宋体" w:hAnsi="宋体"/>
          <w:szCs w:val="24"/>
        </w:rPr>
        <w:t>b）外部来源：标准、学术交流、专业会议、从顾客或外部供方收集的知识</w:t>
      </w:r>
      <w:r>
        <w:rPr>
          <w:rFonts w:hint="eastAsia"/>
        </w:rPr>
        <w:t>。</w:t>
      </w:r>
    </w:p>
    <w:p>
      <w:pPr>
        <w:spacing w:line="360" w:lineRule="auto"/>
        <w:rPr>
          <w:b/>
        </w:rPr>
      </w:pPr>
      <w:r>
        <w:rPr>
          <w:rFonts w:hint="eastAsia"/>
          <w:b/>
        </w:rPr>
        <w:t>7.2能力</w:t>
      </w:r>
    </w:p>
    <w:p>
      <w:pPr>
        <w:spacing w:line="360" w:lineRule="auto"/>
        <w:ind w:left="1" w:firstLine="482" w:firstLineChars="200"/>
        <w:rPr>
          <w:rFonts w:ascii="宋体" w:hAnsi="宋体"/>
          <w:szCs w:val="24"/>
        </w:rPr>
      </w:pPr>
      <w:r>
        <w:rPr>
          <w:rFonts w:hint="eastAsia" w:ascii="宋体" w:hAnsi="宋体"/>
          <w:b/>
          <w:szCs w:val="24"/>
        </w:rPr>
        <w:t>办公室</w:t>
      </w:r>
      <w:r>
        <w:rPr>
          <w:rFonts w:hint="eastAsia" w:ascii="宋体" w:hAnsi="宋体"/>
          <w:szCs w:val="24"/>
        </w:rPr>
        <w:t>制定《</w:t>
      </w:r>
      <w:r>
        <w:rPr>
          <w:rFonts w:hint="eastAsia" w:ascii="宋体" w:hAnsi="宋体" w:cs="Arial Unicode MS"/>
          <w:szCs w:val="24"/>
        </w:rPr>
        <w:t>人力资源控制程序</w:t>
      </w:r>
      <w:r>
        <w:rPr>
          <w:rFonts w:hint="eastAsia" w:ascii="宋体" w:hAnsi="宋体"/>
          <w:szCs w:val="24"/>
        </w:rPr>
        <w:t>》应：</w:t>
      </w:r>
    </w:p>
    <w:p>
      <w:pPr>
        <w:spacing w:line="360" w:lineRule="auto"/>
        <w:ind w:left="240" w:hanging="240" w:hangingChars="100"/>
        <w:rPr>
          <w:rFonts w:ascii="宋体" w:hAnsi="宋体"/>
          <w:szCs w:val="24"/>
        </w:rPr>
      </w:pPr>
      <w:r>
        <w:rPr>
          <w:rFonts w:hint="eastAsia" w:ascii="宋体" w:hAnsi="宋体"/>
          <w:szCs w:val="24"/>
        </w:rPr>
        <w:t xml:space="preserve">     a) 确定从事影响产品质量工作的人员所必要的能力；公司新进人员应给予适当的岗前教育培训，或以其学经历背景或政府的资格认定证明或测验或经由推荐等方法任用，专业培训由各部门个别实施，共同项目由办公室安排实施。</w:t>
      </w:r>
    </w:p>
    <w:p>
      <w:pPr>
        <w:spacing w:line="360" w:lineRule="auto"/>
        <w:ind w:left="240" w:hanging="240" w:hangingChars="100"/>
        <w:rPr>
          <w:rFonts w:ascii="宋体" w:hAnsi="宋体"/>
          <w:szCs w:val="24"/>
        </w:rPr>
      </w:pPr>
      <w:r>
        <w:rPr>
          <w:rFonts w:hint="eastAsia" w:ascii="宋体" w:hAnsi="宋体"/>
          <w:szCs w:val="24"/>
        </w:rPr>
        <w:t xml:space="preserve">     b)提供培训或采取其他措施以满足这些需求；在岗培训应制定年度培训计划，由</w:t>
      </w:r>
      <w:r>
        <w:rPr>
          <w:rFonts w:hint="eastAsia" w:ascii="宋体" w:hAnsi="宋体"/>
          <w:b/>
          <w:szCs w:val="24"/>
        </w:rPr>
        <w:t>办公室</w:t>
      </w:r>
      <w:r>
        <w:rPr>
          <w:rFonts w:hint="eastAsia" w:ascii="宋体" w:hAnsi="宋体"/>
          <w:szCs w:val="24"/>
        </w:rPr>
        <w:t>统筹规划，各部门根据工作需要，协调内部讲师授课或申请委外培训。</w:t>
      </w:r>
    </w:p>
    <w:p>
      <w:pPr>
        <w:spacing w:line="360" w:lineRule="auto"/>
        <w:ind w:left="240" w:hanging="240" w:hangingChars="100"/>
        <w:rPr>
          <w:rFonts w:ascii="宋体" w:hAnsi="宋体"/>
          <w:szCs w:val="24"/>
        </w:rPr>
      </w:pPr>
      <w:r>
        <w:rPr>
          <w:rFonts w:hint="eastAsia" w:ascii="宋体" w:hAnsi="宋体"/>
          <w:szCs w:val="24"/>
        </w:rPr>
        <w:t xml:space="preserve">     c)评价所采取措施的有效性；参加外训课程需要交学习总结或结业合格证书影印本，以作为培训评估参考。为提升专业人员之技能并强化产品及工作质量，应调查各部门的专业技能鉴定需求，对于各专业技能人员，应有适当的鉴定方式并实施。</w:t>
      </w:r>
    </w:p>
    <w:p>
      <w:pPr>
        <w:spacing w:line="360" w:lineRule="auto"/>
        <w:ind w:left="1" w:hanging="1"/>
        <w:rPr>
          <w:rFonts w:ascii="宋体" w:hAnsi="宋体"/>
          <w:szCs w:val="24"/>
        </w:rPr>
      </w:pPr>
      <w:r>
        <w:rPr>
          <w:rFonts w:hint="eastAsia" w:ascii="宋体" w:hAnsi="宋体"/>
          <w:szCs w:val="24"/>
        </w:rPr>
        <w:t xml:space="preserve">     d)确保员工认识到所从事活动的相关性和重要性，以及如何为实现质量目标作出贡献；</w:t>
      </w:r>
    </w:p>
    <w:p>
      <w:pPr>
        <w:spacing w:line="360" w:lineRule="auto"/>
        <w:ind w:firstLine="420"/>
        <w:rPr>
          <w:spacing w:val="10"/>
        </w:rPr>
      </w:pPr>
      <w:r>
        <w:rPr>
          <w:rFonts w:hint="eastAsia" w:ascii="宋体" w:hAnsi="宋体"/>
          <w:szCs w:val="24"/>
        </w:rPr>
        <w:t xml:space="preserve"> e</w:t>
      </w:r>
      <w:r>
        <w:rPr>
          <w:rFonts w:hint="eastAsia" w:ascii="宋体" w:hAnsi="宋体"/>
          <w:b/>
          <w:szCs w:val="24"/>
        </w:rPr>
        <w:t>办公室</w:t>
      </w:r>
      <w:r>
        <w:rPr>
          <w:rFonts w:hint="eastAsia" w:ascii="宋体" w:hAnsi="宋体"/>
          <w:szCs w:val="24"/>
        </w:rPr>
        <w:t>保持教育、培训、技能和经验的记录</w:t>
      </w:r>
      <w:r>
        <w:rPr>
          <w:spacing w:val="10"/>
        </w:rPr>
        <w:t>。</w:t>
      </w:r>
    </w:p>
    <w:p>
      <w:pPr>
        <w:spacing w:line="360" w:lineRule="auto"/>
        <w:rPr>
          <w:b/>
        </w:rPr>
      </w:pPr>
      <w:r>
        <w:rPr>
          <w:rFonts w:hint="eastAsia"/>
          <w:b/>
        </w:rPr>
        <w:t>7.3意识</w:t>
      </w:r>
    </w:p>
    <w:p>
      <w:pPr>
        <w:spacing w:line="360" w:lineRule="auto"/>
        <w:ind w:firstLine="600" w:firstLineChars="250"/>
      </w:pPr>
      <w:r>
        <w:rPr>
          <w:rFonts w:hint="eastAsia"/>
        </w:rPr>
        <w:t>公司确保在其控制范围内开展工作的人员知晓质量方针、相关质量目标、对质量管理体系有效性的贡献以及不符合质量管理体系要求可能引发的后果。这些工作人员包括现有的员工、临时工、外部供方等。公司通过多种形式加强意识养成，如产品图片、加强培训和沟通等。</w:t>
      </w:r>
    </w:p>
    <w:p>
      <w:pPr>
        <w:spacing w:line="360" w:lineRule="auto"/>
        <w:rPr>
          <w:b/>
        </w:rPr>
      </w:pPr>
      <w:r>
        <w:rPr>
          <w:rFonts w:hint="eastAsia"/>
          <w:b/>
        </w:rPr>
        <w:t>7.4沟通</w:t>
      </w:r>
    </w:p>
    <w:p>
      <w:pPr>
        <w:pStyle w:val="44"/>
      </w:pPr>
      <w:r>
        <w:rPr>
          <w:rFonts w:hint="eastAsia"/>
          <w:b/>
        </w:rPr>
        <w:t>办公室</w:t>
      </w:r>
      <w:r>
        <w:rPr>
          <w:rFonts w:hint="eastAsia"/>
        </w:rPr>
        <w:t>负责</w:t>
      </w:r>
      <w:r>
        <w:t>建立相应沟通的工作会议渠道或</w:t>
      </w:r>
      <w:r>
        <w:rPr>
          <w:rFonts w:hint="eastAsia"/>
        </w:rPr>
        <w:t>网络</w:t>
      </w:r>
      <w:r>
        <w:t>沟通平台，处理和解决公司内部事务，监督质量管理体系的有效运行，及时解决质量管理体系运行中发现的问题，增加员工与公司管理层的联系。</w:t>
      </w:r>
    </w:p>
    <w:p>
      <w:pPr>
        <w:spacing w:line="360" w:lineRule="auto"/>
        <w:rPr>
          <w:b/>
        </w:rPr>
      </w:pPr>
      <w:r>
        <w:rPr>
          <w:rFonts w:hint="eastAsia"/>
          <w:b/>
        </w:rPr>
        <w:t>7.5形成文件的信息</w:t>
      </w:r>
    </w:p>
    <w:p>
      <w:pPr>
        <w:spacing w:line="360" w:lineRule="auto"/>
        <w:rPr>
          <w:b/>
        </w:rPr>
      </w:pPr>
      <w:r>
        <w:rPr>
          <w:rFonts w:hint="eastAsia"/>
          <w:b/>
        </w:rPr>
        <w:t>7.5.1总则</w:t>
      </w:r>
    </w:p>
    <w:p>
      <w:pPr>
        <w:spacing w:line="360" w:lineRule="auto"/>
        <w:ind w:firstLine="480"/>
      </w:pPr>
      <w:r>
        <w:t>本公司质量管理体系形成文件的信息包括以下内容：</w:t>
      </w:r>
    </w:p>
    <w:p>
      <w:pPr>
        <w:spacing w:line="420" w:lineRule="exact"/>
        <w:ind w:left="972" w:leftChars="405"/>
        <w:rPr>
          <w:rFonts w:ascii="宋体" w:hAnsi="宋体" w:cs="宋体"/>
          <w:szCs w:val="24"/>
        </w:rPr>
      </w:pPr>
      <w:r>
        <w:rPr>
          <w:rFonts w:hint="eastAsia" w:ascii="宋体" w:hAnsi="宋体" w:cs="宋体"/>
          <w:szCs w:val="24"/>
        </w:rPr>
        <w:t xml:space="preserve">a) </w:t>
      </w:r>
      <w:r>
        <w:rPr>
          <w:rFonts w:hint="eastAsia" w:ascii="宋体" w:hAnsi="宋体"/>
          <w:szCs w:val="24"/>
        </w:rPr>
        <w:t>ISO9001标准要求的形成的文件信息</w:t>
      </w:r>
      <w:r>
        <w:rPr>
          <w:rFonts w:hint="eastAsia" w:ascii="宋体" w:hAnsi="宋体" w:cs="宋体"/>
          <w:szCs w:val="24"/>
        </w:rPr>
        <w:t>；</w:t>
      </w:r>
    </w:p>
    <w:p>
      <w:pPr>
        <w:spacing w:line="420" w:lineRule="exact"/>
        <w:ind w:left="972" w:leftChars="405"/>
        <w:rPr>
          <w:rFonts w:ascii="宋体" w:hAnsi="宋体" w:cs="宋体"/>
          <w:szCs w:val="24"/>
        </w:rPr>
      </w:pPr>
      <w:r>
        <w:rPr>
          <w:rFonts w:hint="eastAsia" w:ascii="宋体" w:hAnsi="宋体" w:cs="宋体"/>
          <w:szCs w:val="24"/>
        </w:rPr>
        <w:t>b) 公司确定的为确保质量管理体系有效性所需的支持性文件及记录。</w:t>
      </w:r>
    </w:p>
    <w:p>
      <w:pPr>
        <w:spacing w:line="420" w:lineRule="exact"/>
        <w:ind w:left="240" w:leftChars="100"/>
        <w:rPr>
          <w:rFonts w:ascii="宋体" w:hAnsi="宋体" w:cs="宋体"/>
          <w:szCs w:val="24"/>
        </w:rPr>
      </w:pPr>
      <w:r>
        <w:rPr>
          <w:rFonts w:hint="eastAsia" w:ascii="宋体" w:hAnsi="宋体" w:cs="宋体"/>
          <w:szCs w:val="24"/>
        </w:rPr>
        <w:t>质量管理体系的支持性文件的多少与详略程度应考虑：</w:t>
      </w:r>
    </w:p>
    <w:p>
      <w:pPr>
        <w:spacing w:line="420" w:lineRule="exact"/>
        <w:ind w:left="480" w:leftChars="200" w:firstLine="429" w:firstLineChars="179"/>
        <w:rPr>
          <w:rFonts w:ascii="宋体" w:hAnsi="宋体" w:cs="宋体"/>
          <w:szCs w:val="24"/>
        </w:rPr>
      </w:pPr>
      <w:r>
        <w:rPr>
          <w:rFonts w:hint="eastAsia" w:ascii="宋体" w:hAnsi="宋体" w:cs="宋体"/>
          <w:szCs w:val="24"/>
        </w:rPr>
        <w:t>a) 本公司的规模，以及活动、过程、产品和服务的类型；</w:t>
      </w:r>
    </w:p>
    <w:p>
      <w:pPr>
        <w:spacing w:line="420" w:lineRule="exact"/>
        <w:ind w:left="480" w:leftChars="200" w:firstLine="429" w:firstLineChars="179"/>
        <w:rPr>
          <w:rFonts w:ascii="宋体" w:hAnsi="宋体" w:cs="宋体"/>
          <w:szCs w:val="24"/>
        </w:rPr>
      </w:pPr>
      <w:r>
        <w:rPr>
          <w:rFonts w:hint="eastAsia" w:ascii="宋体" w:hAnsi="宋体" w:cs="宋体"/>
          <w:szCs w:val="24"/>
        </w:rPr>
        <w:t>b) 过程的复杂程度及其相互作用；</w:t>
      </w:r>
    </w:p>
    <w:p>
      <w:pPr>
        <w:spacing w:line="360" w:lineRule="auto"/>
        <w:ind w:firstLine="840" w:firstLineChars="350"/>
        <w:rPr>
          <w:bCs/>
          <w:szCs w:val="21"/>
          <w:lang w:val="zh-CN"/>
        </w:rPr>
      </w:pPr>
      <w:r>
        <w:rPr>
          <w:rFonts w:hint="eastAsia" w:ascii="宋体" w:hAnsi="宋体" w:cs="宋体"/>
          <w:szCs w:val="24"/>
        </w:rPr>
        <w:t>c) 人员的能力</w:t>
      </w:r>
      <w:r>
        <w:rPr>
          <w:bCs/>
          <w:szCs w:val="21"/>
          <w:lang w:val="zh-CN"/>
        </w:rPr>
        <w:t>。</w:t>
      </w:r>
    </w:p>
    <w:p>
      <w:pPr>
        <w:pStyle w:val="39"/>
        <w:ind w:firstLine="0"/>
        <w:rPr>
          <w:rFonts w:ascii="Times New Roman"/>
          <w:b/>
        </w:rPr>
      </w:pPr>
      <w:r>
        <w:rPr>
          <w:rFonts w:hint="eastAsia" w:ascii="Times New Roman"/>
          <w:b/>
        </w:rPr>
        <w:t>7.5.2创建和更新</w:t>
      </w:r>
    </w:p>
    <w:p>
      <w:pPr>
        <w:spacing w:line="420" w:lineRule="exact"/>
        <w:ind w:left="1"/>
        <w:rPr>
          <w:rFonts w:ascii="宋体" w:hAnsi="宋体"/>
          <w:szCs w:val="24"/>
        </w:rPr>
      </w:pPr>
      <w:r>
        <w:rPr>
          <w:rFonts w:hint="eastAsia" w:ascii="宋体" w:hAnsi="宋体"/>
          <w:szCs w:val="24"/>
        </w:rPr>
        <w:t xml:space="preserve">在编制和更新文件时，公司应确保适当的：  </w:t>
      </w:r>
    </w:p>
    <w:p>
      <w:pPr>
        <w:spacing w:line="420" w:lineRule="exact"/>
        <w:ind w:left="1"/>
        <w:rPr>
          <w:rFonts w:ascii="宋体" w:hAnsi="宋体"/>
          <w:szCs w:val="24"/>
        </w:rPr>
      </w:pPr>
      <w:r>
        <w:rPr>
          <w:rFonts w:hint="eastAsia" w:ascii="宋体" w:hAnsi="宋体"/>
          <w:szCs w:val="24"/>
        </w:rPr>
        <w:t xml:space="preserve">       a)文件的标识和说明（如：标题、日期、作者、编号等） </w:t>
      </w:r>
    </w:p>
    <w:p>
      <w:pPr>
        <w:spacing w:line="420" w:lineRule="exact"/>
        <w:ind w:left="1"/>
        <w:rPr>
          <w:rFonts w:ascii="宋体" w:hAnsi="宋体"/>
          <w:szCs w:val="24"/>
        </w:rPr>
      </w:pPr>
      <w:r>
        <w:rPr>
          <w:rFonts w:hint="eastAsia" w:ascii="宋体" w:hAnsi="宋体"/>
          <w:szCs w:val="24"/>
        </w:rPr>
        <w:t xml:space="preserve">       b)在制定文件时，应采取适宜的格式和媒介（如：纸质、电子格式）</w:t>
      </w:r>
    </w:p>
    <w:p>
      <w:pPr>
        <w:spacing w:line="420" w:lineRule="exact"/>
        <w:ind w:left="1"/>
        <w:rPr>
          <w:rFonts w:ascii="宋体" w:hAnsi="宋体"/>
          <w:szCs w:val="24"/>
        </w:rPr>
      </w:pPr>
      <w:r>
        <w:rPr>
          <w:rFonts w:hint="eastAsia" w:ascii="宋体" w:hAnsi="宋体"/>
          <w:szCs w:val="24"/>
        </w:rPr>
        <w:t xml:space="preserve">       c)文件发布前得到评审和批准，以确保文件是适宜的和充分的</w:t>
      </w:r>
    </w:p>
    <w:p>
      <w:pPr>
        <w:pStyle w:val="39"/>
        <w:rPr>
          <w:rFonts w:ascii="Times New Roman"/>
        </w:rPr>
      </w:pPr>
      <w:r>
        <w:rPr>
          <w:rFonts w:hint="eastAsia" w:hAnsi="宋体"/>
          <w:szCs w:val="24"/>
        </w:rPr>
        <w:t xml:space="preserve">   d)在更新文件时，确保文件的更改和现行修订状态得到识别</w:t>
      </w:r>
    </w:p>
    <w:p>
      <w:pPr>
        <w:spacing w:line="360" w:lineRule="auto"/>
        <w:outlineLvl w:val="0"/>
        <w:rPr>
          <w:b/>
        </w:rPr>
      </w:pPr>
      <w:r>
        <w:rPr>
          <w:rFonts w:hint="eastAsia"/>
          <w:b/>
        </w:rPr>
        <w:t>7.5.3成文信息的控制</w:t>
      </w:r>
    </w:p>
    <w:p>
      <w:pPr>
        <w:spacing w:line="420" w:lineRule="exact"/>
        <w:ind w:left="1" w:firstLine="480" w:firstLineChars="200"/>
        <w:rPr>
          <w:rFonts w:ascii="宋体" w:hAnsi="宋体"/>
          <w:szCs w:val="24"/>
        </w:rPr>
      </w:pPr>
      <w:r>
        <w:rPr>
          <w:rFonts w:hint="eastAsia" w:ascii="宋体" w:hAnsi="宋体"/>
          <w:szCs w:val="24"/>
        </w:rPr>
        <w:t>7.5.3.1</w:t>
      </w:r>
      <w:r>
        <w:rPr>
          <w:rFonts w:hint="eastAsia" w:ascii="宋体" w:hAnsi="宋体"/>
          <w:b/>
          <w:szCs w:val="24"/>
        </w:rPr>
        <w:t>办公室</w:t>
      </w:r>
      <w:r>
        <w:rPr>
          <w:rFonts w:hint="eastAsia" w:ascii="宋体" w:hAnsi="宋体"/>
          <w:szCs w:val="24"/>
        </w:rPr>
        <w:t>为控制质量体系所建立的文件，制定《文件和记录控制程序》以确保：</w:t>
      </w:r>
    </w:p>
    <w:p>
      <w:pPr>
        <w:numPr>
          <w:ilvl w:val="0"/>
          <w:numId w:val="7"/>
        </w:numPr>
        <w:spacing w:line="420" w:lineRule="exact"/>
        <w:ind w:left="0" w:firstLine="1015"/>
        <w:rPr>
          <w:rFonts w:ascii="宋体" w:hAnsi="宋体"/>
          <w:szCs w:val="24"/>
        </w:rPr>
      </w:pPr>
      <w:r>
        <w:rPr>
          <w:rFonts w:hint="eastAsia" w:ascii="宋体" w:hAnsi="宋体"/>
          <w:szCs w:val="24"/>
        </w:rPr>
        <w:t>确保在使用处可获得有关版本的适用文件；</w:t>
      </w:r>
    </w:p>
    <w:p>
      <w:pPr>
        <w:numPr>
          <w:ilvl w:val="0"/>
          <w:numId w:val="7"/>
        </w:numPr>
        <w:spacing w:line="420" w:lineRule="exact"/>
        <w:ind w:left="1274" w:leftChars="422" w:hanging="261"/>
        <w:rPr>
          <w:rFonts w:ascii="宋体" w:hAnsi="宋体"/>
          <w:szCs w:val="24"/>
        </w:rPr>
      </w:pPr>
      <w:r>
        <w:rPr>
          <w:rFonts w:hint="eastAsia" w:ascii="宋体" w:hAnsi="宋体"/>
          <w:szCs w:val="24"/>
        </w:rPr>
        <w:t>确保文件保持清晰、易于识别,妥善保护（如：防止失密、不当使用、或不完整）。</w:t>
      </w:r>
    </w:p>
    <w:p>
      <w:pPr>
        <w:spacing w:line="420" w:lineRule="exact"/>
        <w:ind w:left="1" w:firstLine="240" w:firstLineChars="100"/>
        <w:rPr>
          <w:rFonts w:ascii="宋体" w:hAnsi="宋体"/>
          <w:szCs w:val="24"/>
        </w:rPr>
      </w:pPr>
      <w:r>
        <w:rPr>
          <w:rFonts w:hint="eastAsia" w:ascii="宋体" w:hAnsi="宋体"/>
          <w:szCs w:val="24"/>
        </w:rPr>
        <w:t>7.5.3.2</w:t>
      </w:r>
      <w:r>
        <w:rPr>
          <w:rFonts w:hint="eastAsia" w:ascii="宋体" w:hAnsi="宋体" w:cs="宋体"/>
          <w:szCs w:val="24"/>
        </w:rPr>
        <w:t>为有效控制公司文件和记录，适用时，公司</w:t>
      </w:r>
      <w:r>
        <w:rPr>
          <w:rFonts w:hint="eastAsia" w:ascii="宋体" w:hAnsi="宋体"/>
          <w:szCs w:val="24"/>
        </w:rPr>
        <w:t>应采取以下控制措施：</w:t>
      </w:r>
    </w:p>
    <w:p>
      <w:pPr>
        <w:numPr>
          <w:ilvl w:val="0"/>
          <w:numId w:val="8"/>
        </w:numPr>
        <w:spacing w:line="420" w:lineRule="exact"/>
        <w:ind w:left="1269" w:leftChars="420" w:hanging="261"/>
        <w:rPr>
          <w:rFonts w:ascii="宋体" w:hAnsi="宋体"/>
          <w:szCs w:val="24"/>
        </w:rPr>
      </w:pPr>
      <w:r>
        <w:rPr>
          <w:rFonts w:hint="eastAsia" w:ascii="宋体" w:hAnsi="宋体"/>
          <w:szCs w:val="24"/>
        </w:rPr>
        <w:t>确保所有文件和记录得到识别，文件应统一分类及编号，具体执行《文件和记录控制程序》</w:t>
      </w:r>
    </w:p>
    <w:p>
      <w:pPr>
        <w:numPr>
          <w:ilvl w:val="0"/>
          <w:numId w:val="8"/>
        </w:numPr>
        <w:spacing w:line="420" w:lineRule="exact"/>
        <w:ind w:left="1269" w:leftChars="420" w:hanging="261"/>
        <w:rPr>
          <w:rFonts w:ascii="宋体" w:hAnsi="宋体"/>
          <w:szCs w:val="24"/>
        </w:rPr>
      </w:pPr>
      <w:r>
        <w:rPr>
          <w:rFonts w:hint="eastAsia" w:ascii="宋体" w:hAnsi="宋体"/>
          <w:szCs w:val="24"/>
        </w:rPr>
        <w:t>文件发行应依作业流程并获得授权人员核准，发行时应予以管制，注明文件类别、文件编号、分发份数、分发单位等</w:t>
      </w:r>
    </w:p>
    <w:p>
      <w:pPr>
        <w:numPr>
          <w:ilvl w:val="0"/>
          <w:numId w:val="8"/>
        </w:numPr>
        <w:spacing w:line="420" w:lineRule="exact"/>
        <w:ind w:left="1269" w:leftChars="420" w:hanging="261"/>
        <w:rPr>
          <w:rFonts w:ascii="宋体" w:hAnsi="宋体"/>
          <w:szCs w:val="24"/>
        </w:rPr>
      </w:pPr>
      <w:r>
        <w:rPr>
          <w:rFonts w:hint="eastAsia" w:ascii="宋体" w:hAnsi="宋体"/>
          <w:szCs w:val="24"/>
        </w:rPr>
        <w:t>防止作废文件的非预期使用，若因任何原因而保留作废文件时，应对这些文件进行适当的标识</w:t>
      </w:r>
    </w:p>
    <w:p>
      <w:pPr>
        <w:numPr>
          <w:ilvl w:val="0"/>
          <w:numId w:val="8"/>
        </w:numPr>
        <w:spacing w:line="420" w:lineRule="exact"/>
        <w:ind w:left="1269" w:leftChars="420" w:hanging="261"/>
        <w:rPr>
          <w:rFonts w:ascii="宋体" w:hAnsi="宋体"/>
          <w:szCs w:val="24"/>
        </w:rPr>
      </w:pPr>
      <w:r>
        <w:rPr>
          <w:rFonts w:hint="eastAsia" w:ascii="宋体" w:hAnsi="宋体"/>
          <w:szCs w:val="24"/>
        </w:rPr>
        <w:t>所有文件应规定存储方式和防护措施，包括保持可读性</w:t>
      </w:r>
    </w:p>
    <w:p>
      <w:pPr>
        <w:numPr>
          <w:ilvl w:val="0"/>
          <w:numId w:val="8"/>
        </w:numPr>
        <w:spacing w:line="420" w:lineRule="exact"/>
        <w:ind w:left="1269" w:leftChars="420" w:hanging="261"/>
        <w:rPr>
          <w:rFonts w:ascii="宋体" w:hAnsi="宋体"/>
          <w:szCs w:val="24"/>
        </w:rPr>
      </w:pPr>
      <w:r>
        <w:rPr>
          <w:rFonts w:hint="eastAsia" w:ascii="宋体" w:hAnsi="宋体"/>
          <w:szCs w:val="24"/>
        </w:rPr>
        <w:t>文件的变更包括版本控制，由相关部门或原制订部门提出修改要求，评审、验证后批准实施</w:t>
      </w:r>
    </w:p>
    <w:p>
      <w:pPr>
        <w:numPr>
          <w:ilvl w:val="0"/>
          <w:numId w:val="8"/>
        </w:numPr>
        <w:tabs>
          <w:tab w:val="left" w:pos="360"/>
        </w:tabs>
        <w:spacing w:line="360" w:lineRule="auto"/>
        <w:ind w:left="1269" w:leftChars="420" w:hanging="261"/>
      </w:pPr>
      <w:r>
        <w:rPr>
          <w:rFonts w:hint="eastAsia" w:ascii="宋体" w:hAnsi="宋体"/>
          <w:szCs w:val="24"/>
        </w:rPr>
        <w:t>质量管理体系文件原案由办公室统一负责管理、保存和处置</w:t>
      </w:r>
    </w:p>
    <w:p>
      <w:pPr>
        <w:numPr>
          <w:ilvl w:val="0"/>
          <w:numId w:val="8"/>
        </w:numPr>
        <w:spacing w:line="360" w:lineRule="auto"/>
        <w:ind w:left="1269" w:leftChars="420" w:hanging="261"/>
        <w:rPr>
          <w:rFonts w:ascii="宋体" w:hAnsi="宋体"/>
          <w:szCs w:val="24"/>
        </w:rPr>
      </w:pPr>
      <w:r>
        <w:rPr>
          <w:rFonts w:hint="eastAsia" w:ascii="宋体" w:hAnsi="宋体"/>
          <w:szCs w:val="24"/>
        </w:rPr>
        <w:t>质量管理体系所需要的外来文件的原始资料，各相关部门应进行适当的识别、管理和控制，依《文件和记录控制程序》执行</w:t>
      </w:r>
    </w:p>
    <w:p>
      <w:pPr>
        <w:numPr>
          <w:ilvl w:val="0"/>
          <w:numId w:val="8"/>
        </w:numPr>
        <w:tabs>
          <w:tab w:val="left" w:pos="360"/>
        </w:tabs>
        <w:spacing w:line="360" w:lineRule="auto"/>
        <w:ind w:left="1269" w:leftChars="420" w:hanging="261"/>
      </w:pPr>
      <w:r>
        <w:rPr>
          <w:rFonts w:hint="eastAsia" w:ascii="宋体" w:hAnsi="宋体"/>
          <w:szCs w:val="24"/>
        </w:rPr>
        <w:t>对公司保存的作为符合性证据性文件和记录予以保护，防止非预期的更改</w:t>
      </w:r>
    </w:p>
    <w:p>
      <w:pPr>
        <w:spacing w:line="360" w:lineRule="auto"/>
        <w:rPr>
          <w:b/>
        </w:rPr>
      </w:pPr>
      <w:r>
        <w:rPr>
          <w:rFonts w:hint="eastAsia"/>
          <w:b/>
        </w:rPr>
        <w:t>8 运行</w:t>
      </w:r>
    </w:p>
    <w:p>
      <w:pPr>
        <w:spacing w:line="360" w:lineRule="auto"/>
        <w:rPr>
          <w:b/>
        </w:rPr>
      </w:pPr>
      <w:r>
        <w:rPr>
          <w:rFonts w:hint="eastAsia"/>
          <w:b/>
        </w:rPr>
        <w:t>8.1运行策划和控制</w:t>
      </w:r>
    </w:p>
    <w:p>
      <w:pPr>
        <w:spacing w:line="360" w:lineRule="auto"/>
        <w:ind w:left="1"/>
        <w:rPr>
          <w:rFonts w:ascii="宋体" w:hAnsi="宋体"/>
          <w:szCs w:val="24"/>
        </w:rPr>
      </w:pPr>
      <w:r>
        <w:rPr>
          <w:rFonts w:hint="eastAsia" w:ascii="宋体" w:hAnsi="宋体"/>
          <w:szCs w:val="24"/>
        </w:rPr>
        <w:t>8.1.1最高管理层通过采取下列措施，策划、实施和控制满足产品要求所需的过程，并实施应对风险和机遇所策划的措施：</w:t>
      </w:r>
    </w:p>
    <w:p>
      <w:pPr>
        <w:spacing w:line="360" w:lineRule="auto"/>
        <w:ind w:left="1"/>
        <w:rPr>
          <w:rFonts w:ascii="宋体" w:hAnsi="宋体"/>
          <w:szCs w:val="24"/>
        </w:rPr>
      </w:pPr>
      <w:r>
        <w:rPr>
          <w:rFonts w:hint="eastAsia" w:ascii="宋体" w:hAnsi="宋体"/>
          <w:szCs w:val="24"/>
        </w:rPr>
        <w:t xml:space="preserve">     a）确定产品的要求，包括产品标准、质量标准、顾客要求等；</w:t>
      </w:r>
    </w:p>
    <w:p>
      <w:pPr>
        <w:spacing w:line="360" w:lineRule="auto"/>
        <w:ind w:left="1"/>
        <w:rPr>
          <w:rFonts w:ascii="宋体" w:hAnsi="宋体"/>
          <w:szCs w:val="24"/>
        </w:rPr>
      </w:pPr>
      <w:r>
        <w:rPr>
          <w:rFonts w:hint="eastAsia" w:ascii="宋体" w:hAnsi="宋体"/>
          <w:szCs w:val="24"/>
        </w:rPr>
        <w:t xml:space="preserve">     b）建立下列内容的准则：  </w:t>
      </w:r>
    </w:p>
    <w:p>
      <w:pPr>
        <w:spacing w:line="360" w:lineRule="auto"/>
        <w:ind w:left="1"/>
        <w:rPr>
          <w:rFonts w:ascii="宋体" w:hAnsi="宋体"/>
          <w:szCs w:val="24"/>
        </w:rPr>
      </w:pPr>
      <w:r>
        <w:rPr>
          <w:rFonts w:hint="eastAsia" w:ascii="宋体" w:hAnsi="宋体"/>
          <w:szCs w:val="24"/>
        </w:rPr>
        <w:t xml:space="preserve">         1）过程运行规范，如操作规程、流程图、检验和试验规范等；  </w:t>
      </w:r>
    </w:p>
    <w:p>
      <w:pPr>
        <w:spacing w:line="360" w:lineRule="auto"/>
        <w:ind w:left="1"/>
        <w:rPr>
          <w:rFonts w:ascii="宋体" w:hAnsi="宋体"/>
          <w:szCs w:val="24"/>
        </w:rPr>
      </w:pPr>
      <w:r>
        <w:rPr>
          <w:rFonts w:hint="eastAsia" w:ascii="宋体" w:hAnsi="宋体"/>
          <w:szCs w:val="24"/>
        </w:rPr>
        <w:t xml:space="preserve">         2）产品的接收准则。 </w:t>
      </w:r>
    </w:p>
    <w:p>
      <w:pPr>
        <w:spacing w:line="360" w:lineRule="auto"/>
        <w:ind w:left="1"/>
        <w:rPr>
          <w:rFonts w:ascii="宋体" w:hAnsi="宋体"/>
          <w:szCs w:val="24"/>
        </w:rPr>
      </w:pPr>
      <w:r>
        <w:rPr>
          <w:rFonts w:hint="eastAsia" w:ascii="宋体" w:hAnsi="宋体"/>
          <w:szCs w:val="24"/>
        </w:rPr>
        <w:t xml:space="preserve">     c）确定符合产品要求所需资源的配置要求； </w:t>
      </w:r>
    </w:p>
    <w:p>
      <w:pPr>
        <w:spacing w:line="360" w:lineRule="auto"/>
        <w:ind w:left="1"/>
        <w:rPr>
          <w:rFonts w:ascii="宋体" w:hAnsi="宋体"/>
          <w:szCs w:val="24"/>
        </w:rPr>
      </w:pPr>
      <w:r>
        <w:rPr>
          <w:rFonts w:hint="eastAsia" w:ascii="宋体" w:hAnsi="宋体"/>
          <w:szCs w:val="24"/>
        </w:rPr>
        <w:t xml:space="preserve">     d）按照作业规范、规定要求，实施过程控制；  </w:t>
      </w:r>
    </w:p>
    <w:p>
      <w:pPr>
        <w:spacing w:line="360" w:lineRule="auto"/>
        <w:ind w:left="1"/>
        <w:rPr>
          <w:rFonts w:ascii="宋体" w:hAnsi="宋体"/>
          <w:szCs w:val="24"/>
        </w:rPr>
      </w:pPr>
      <w:r>
        <w:rPr>
          <w:rFonts w:hint="eastAsia" w:ascii="宋体" w:hAnsi="宋体"/>
          <w:szCs w:val="24"/>
        </w:rPr>
        <w:t xml:space="preserve">     e）在需要的范围和程度上，确定并保持、保留运行策划和控制的记录：  </w:t>
      </w:r>
    </w:p>
    <w:p>
      <w:pPr>
        <w:spacing w:line="360" w:lineRule="auto"/>
        <w:ind w:left="1"/>
        <w:rPr>
          <w:rFonts w:ascii="宋体" w:hAnsi="宋体"/>
          <w:szCs w:val="24"/>
        </w:rPr>
      </w:pPr>
      <w:r>
        <w:rPr>
          <w:rFonts w:hint="eastAsia" w:ascii="宋体" w:hAnsi="宋体"/>
          <w:szCs w:val="24"/>
        </w:rPr>
        <w:t xml:space="preserve">        1）证实过程已经按策划进行； </w:t>
      </w:r>
    </w:p>
    <w:p>
      <w:pPr>
        <w:spacing w:line="360" w:lineRule="auto"/>
        <w:ind w:left="1"/>
        <w:rPr>
          <w:rFonts w:ascii="宋体" w:hAnsi="宋体"/>
          <w:szCs w:val="24"/>
        </w:rPr>
      </w:pPr>
      <w:r>
        <w:rPr>
          <w:rFonts w:hint="eastAsia" w:ascii="宋体" w:hAnsi="宋体"/>
          <w:szCs w:val="24"/>
        </w:rPr>
        <w:t xml:space="preserve">        2）证明产品符合要求。  </w:t>
      </w:r>
    </w:p>
    <w:p>
      <w:pPr>
        <w:spacing w:line="360" w:lineRule="auto"/>
        <w:ind w:left="1" w:firstLine="480" w:firstLineChars="200"/>
        <w:rPr>
          <w:rFonts w:ascii="宋体" w:hAnsi="宋体"/>
          <w:szCs w:val="24"/>
        </w:rPr>
      </w:pPr>
      <w:r>
        <w:rPr>
          <w:rFonts w:hint="eastAsia" w:ascii="宋体" w:hAnsi="宋体"/>
          <w:szCs w:val="24"/>
        </w:rPr>
        <w:t xml:space="preserve">策划的输出应适合本公司产品的运行需要。  </w:t>
      </w:r>
    </w:p>
    <w:p>
      <w:pPr>
        <w:spacing w:line="360" w:lineRule="auto"/>
        <w:ind w:left="1"/>
        <w:rPr>
          <w:rFonts w:ascii="宋体" w:hAnsi="宋体"/>
          <w:szCs w:val="24"/>
        </w:rPr>
      </w:pPr>
      <w:r>
        <w:rPr>
          <w:rFonts w:hint="eastAsia" w:ascii="宋体" w:hAnsi="宋体"/>
          <w:szCs w:val="24"/>
        </w:rPr>
        <w:t xml:space="preserve">8.1.2最高管理者应严格控制体系运行策划的更改，评审非预期变更的后果。更改在实施前应予以评审、确认。必要时，采取措施消除不利影响。 </w:t>
      </w:r>
    </w:p>
    <w:p>
      <w:pPr>
        <w:spacing w:line="360" w:lineRule="auto"/>
      </w:pPr>
      <w:r>
        <w:rPr>
          <w:rFonts w:hint="eastAsia" w:ascii="宋体" w:hAnsi="宋体"/>
          <w:szCs w:val="24"/>
        </w:rPr>
        <w:t>8.1.3本公司外包过程</w:t>
      </w:r>
      <w:r>
        <w:rPr>
          <w:rFonts w:hint="eastAsia" w:ascii="宋体" w:hAnsi="宋体"/>
          <w:szCs w:val="24"/>
          <w:lang w:val="en-US" w:eastAsia="zh-CN"/>
        </w:rPr>
        <w:t>为：危废处理</w:t>
      </w:r>
      <w:r>
        <w:rPr>
          <w:rFonts w:hint="eastAsia" w:hAnsi="宋体"/>
        </w:rPr>
        <w:t>，若后续增加，</w:t>
      </w:r>
      <w:r>
        <w:rPr>
          <w:rFonts w:hAnsi="宋体"/>
        </w:rPr>
        <w:t>按照</w:t>
      </w:r>
      <w:r>
        <w:rPr>
          <w:rFonts w:hint="eastAsia" w:hAnsi="宋体"/>
        </w:rPr>
        <w:t>8.4要求进行控制</w:t>
      </w:r>
      <w:r>
        <w:rPr>
          <w:rFonts w:hint="eastAsia"/>
        </w:rPr>
        <w:t>。</w:t>
      </w:r>
    </w:p>
    <w:p>
      <w:pPr>
        <w:tabs>
          <w:tab w:val="left" w:pos="360"/>
        </w:tabs>
        <w:spacing w:line="360" w:lineRule="auto"/>
        <w:rPr>
          <w:b/>
        </w:rPr>
      </w:pPr>
      <w:r>
        <w:rPr>
          <w:rFonts w:hint="eastAsia"/>
          <w:b/>
        </w:rPr>
        <w:t>8.2产品和服务的要求</w:t>
      </w:r>
    </w:p>
    <w:p>
      <w:pPr>
        <w:tabs>
          <w:tab w:val="left" w:pos="360"/>
        </w:tabs>
        <w:spacing w:line="360" w:lineRule="auto"/>
        <w:rPr>
          <w:b/>
        </w:rPr>
      </w:pPr>
      <w:r>
        <w:rPr>
          <w:rFonts w:hint="eastAsia"/>
          <w:b/>
        </w:rPr>
        <w:t>8.2.1顾客沟通</w:t>
      </w:r>
    </w:p>
    <w:p>
      <w:pPr>
        <w:spacing w:line="360" w:lineRule="auto"/>
        <w:ind w:firstLine="480"/>
      </w:pPr>
      <w:r>
        <w:rPr>
          <w:rFonts w:hint="eastAsia"/>
        </w:rPr>
        <w:t xml:space="preserve">  本公司确保在确定产品和服务需求时组织和顾客进行沟通。</w:t>
      </w:r>
    </w:p>
    <w:p>
      <w:pPr>
        <w:spacing w:line="360" w:lineRule="auto"/>
        <w:ind w:firstLine="720" w:firstLineChars="300"/>
      </w:pPr>
      <w:r>
        <w:t xml:space="preserve">为获得市场信息及顾客需求的信息， </w:t>
      </w:r>
      <w:r>
        <w:rPr>
          <w:rFonts w:hint="eastAsia"/>
        </w:rPr>
        <w:t>供销部负责</w:t>
      </w:r>
      <w:r>
        <w:t>对顾客进行</w:t>
      </w:r>
      <w:r>
        <w:rPr>
          <w:rFonts w:hint="eastAsia"/>
        </w:rPr>
        <w:t>产品/</w:t>
      </w:r>
      <w:r>
        <w:t>服务资讯，进行</w:t>
      </w:r>
      <w:r>
        <w:rPr>
          <w:rFonts w:hint="eastAsia"/>
        </w:rPr>
        <w:t>产品/</w:t>
      </w:r>
      <w:r>
        <w:t>服务质量跟踪、顾客投诉处理和委托协议更改等方式实施与顾客的有效管理，满足顾客要求和期望</w:t>
      </w:r>
      <w:r>
        <w:rPr>
          <w:rFonts w:hint="eastAsia"/>
        </w:rPr>
        <w:t>，与客户沟通主要包括以下方面内容：</w:t>
      </w:r>
    </w:p>
    <w:p>
      <w:pPr>
        <w:spacing w:line="360" w:lineRule="auto"/>
        <w:ind w:firstLine="480"/>
      </w:pPr>
      <w:r>
        <w:rPr>
          <w:rFonts w:hint="eastAsia"/>
        </w:rPr>
        <w:t>a)</w:t>
      </w:r>
      <w:r>
        <w:rPr>
          <w:rFonts w:hint="eastAsia"/>
        </w:rPr>
        <w:tab/>
      </w:r>
      <w:r>
        <w:rPr>
          <w:rFonts w:hint="eastAsia"/>
        </w:rPr>
        <w:t>提供有关产品和服务的信息</w:t>
      </w:r>
    </w:p>
    <w:p>
      <w:pPr>
        <w:spacing w:line="360" w:lineRule="auto"/>
        <w:ind w:firstLine="480"/>
      </w:pPr>
      <w:r>
        <w:rPr>
          <w:rFonts w:hint="eastAsia"/>
        </w:rPr>
        <w:t>b)</w:t>
      </w:r>
      <w:r>
        <w:rPr>
          <w:rFonts w:hint="eastAsia"/>
        </w:rPr>
        <w:tab/>
      </w:r>
      <w:r>
        <w:rPr>
          <w:rFonts w:hint="eastAsia"/>
        </w:rPr>
        <w:t>处理问询、合同或订单，包括变更；</w:t>
      </w:r>
    </w:p>
    <w:p>
      <w:pPr>
        <w:spacing w:line="360" w:lineRule="auto"/>
        <w:ind w:firstLine="480"/>
      </w:pPr>
      <w:r>
        <w:rPr>
          <w:rFonts w:hint="eastAsia"/>
        </w:rPr>
        <w:t>c)</w:t>
      </w:r>
      <w:r>
        <w:rPr>
          <w:rFonts w:hint="eastAsia"/>
        </w:rPr>
        <w:tab/>
      </w:r>
      <w:r>
        <w:rPr>
          <w:rFonts w:hint="eastAsia"/>
        </w:rPr>
        <w:t>获取有关产品和服务的顾客反馈，包括顾客抱怨；</w:t>
      </w:r>
    </w:p>
    <w:p>
      <w:pPr>
        <w:spacing w:line="360" w:lineRule="auto"/>
        <w:ind w:firstLine="480"/>
      </w:pPr>
      <w:r>
        <w:rPr>
          <w:rFonts w:hint="eastAsia"/>
        </w:rPr>
        <w:t>d) 处置或控制顾客财产；</w:t>
      </w:r>
    </w:p>
    <w:p>
      <w:pPr>
        <w:spacing w:line="360" w:lineRule="auto"/>
        <w:ind w:firstLine="480"/>
      </w:pPr>
      <w:r>
        <w:rPr>
          <w:rFonts w:hint="eastAsia"/>
        </w:rPr>
        <w:t>e) 关系重大时，制定有关应急措施的特定要求。</w:t>
      </w:r>
    </w:p>
    <w:p>
      <w:pPr>
        <w:tabs>
          <w:tab w:val="left" w:pos="360"/>
        </w:tabs>
        <w:spacing w:line="360" w:lineRule="auto"/>
        <w:rPr>
          <w:b/>
        </w:rPr>
      </w:pPr>
      <w:r>
        <w:rPr>
          <w:rFonts w:hint="eastAsia"/>
          <w:b/>
        </w:rPr>
        <w:t>8.2.2与产品和服务有关的要求的确定</w:t>
      </w:r>
    </w:p>
    <w:p>
      <w:pPr>
        <w:autoSpaceDE w:val="0"/>
        <w:autoSpaceDN w:val="0"/>
        <w:spacing w:line="360" w:lineRule="auto"/>
        <w:ind w:firstLine="540"/>
        <w:rPr>
          <w:szCs w:val="21"/>
          <w:lang w:val="zh-CN"/>
        </w:rPr>
      </w:pPr>
      <w:r>
        <w:rPr>
          <w:rFonts w:hint="eastAsia"/>
        </w:rPr>
        <w:t>本公司建立与产品和服务有关的要求的确定过程，通过对标书、合同或协议的洽谈以及市场调研等活动，识别并确定客户对产品的有关要求。与产品和服务有关的要求包括：</w:t>
      </w:r>
    </w:p>
    <w:p>
      <w:pPr>
        <w:numPr>
          <w:ilvl w:val="0"/>
          <w:numId w:val="9"/>
        </w:numPr>
        <w:tabs>
          <w:tab w:val="left" w:pos="1035"/>
        </w:tabs>
        <w:autoSpaceDE w:val="0"/>
        <w:autoSpaceDN w:val="0"/>
        <w:spacing w:line="360" w:lineRule="auto"/>
        <w:rPr>
          <w:szCs w:val="21"/>
          <w:lang w:val="zh-CN"/>
        </w:rPr>
      </w:pPr>
      <w:r>
        <w:rPr>
          <w:rFonts w:hint="eastAsia"/>
          <w:szCs w:val="21"/>
          <w:lang w:val="zh-CN"/>
        </w:rPr>
        <w:t>产品</w:t>
      </w:r>
      <w:r>
        <w:rPr>
          <w:szCs w:val="21"/>
          <w:lang w:val="zh-CN"/>
        </w:rPr>
        <w:t>和服务的要求得到规定</w:t>
      </w:r>
      <w:r>
        <w:rPr>
          <w:rFonts w:hint="eastAsia"/>
          <w:szCs w:val="21"/>
          <w:lang w:val="zh-CN"/>
        </w:rPr>
        <w:t>，</w:t>
      </w:r>
      <w:r>
        <w:rPr>
          <w:szCs w:val="21"/>
          <w:lang w:val="zh-CN"/>
        </w:rPr>
        <w:t>包括适用的法律法规要求和公司认为的必要要求</w:t>
      </w:r>
      <w:r>
        <w:rPr>
          <w:rFonts w:hint="eastAsia"/>
          <w:szCs w:val="21"/>
          <w:lang w:val="zh-CN"/>
        </w:rPr>
        <w:t>；</w:t>
      </w:r>
    </w:p>
    <w:p>
      <w:pPr>
        <w:numPr>
          <w:ilvl w:val="0"/>
          <w:numId w:val="9"/>
        </w:numPr>
        <w:tabs>
          <w:tab w:val="left" w:pos="1035"/>
        </w:tabs>
        <w:autoSpaceDE w:val="0"/>
        <w:autoSpaceDN w:val="0"/>
        <w:spacing w:line="360" w:lineRule="auto"/>
        <w:rPr>
          <w:szCs w:val="21"/>
          <w:lang w:val="zh-CN"/>
        </w:rPr>
      </w:pPr>
      <w:r>
        <w:rPr>
          <w:rFonts w:hint="eastAsia"/>
          <w:szCs w:val="21"/>
          <w:lang w:val="zh-CN"/>
        </w:rPr>
        <w:t>对其所提供的产品和服务，能够满足组织声明的要求。</w:t>
      </w:r>
    </w:p>
    <w:p>
      <w:pPr>
        <w:pStyle w:val="36"/>
        <w:ind w:left="0"/>
        <w:rPr>
          <w:rFonts w:ascii="Times New Roman"/>
          <w:b/>
          <w:szCs w:val="21"/>
          <w:lang w:val="zh-CN"/>
        </w:rPr>
      </w:pPr>
      <w:r>
        <w:rPr>
          <w:rFonts w:hint="eastAsia" w:ascii="Times New Roman"/>
          <w:b/>
          <w:szCs w:val="21"/>
          <w:lang w:val="zh-CN"/>
        </w:rPr>
        <w:t>8.2.3与产品和服务有关的要求的评审：</w:t>
      </w:r>
    </w:p>
    <w:p>
      <w:pPr>
        <w:autoSpaceDE w:val="0"/>
        <w:autoSpaceDN w:val="0"/>
        <w:spacing w:line="360" w:lineRule="auto"/>
        <w:ind w:firstLine="480" w:firstLineChars="200"/>
        <w:rPr>
          <w:szCs w:val="21"/>
          <w:lang w:val="zh-CN"/>
        </w:rPr>
      </w:pPr>
      <w:r>
        <w:rPr>
          <w:rFonts w:hint="eastAsia" w:ascii="宋体" w:hAnsi="宋体"/>
          <w:szCs w:val="24"/>
        </w:rPr>
        <w:t>为确保有能力满足顾客要求。在承诺向顾客提供产品和服务（合同签订）之前，应对如下各项要求进行评审</w:t>
      </w:r>
      <w:r>
        <w:rPr>
          <w:szCs w:val="21"/>
          <w:lang w:val="zh-CN"/>
        </w:rPr>
        <w:t>：</w:t>
      </w:r>
    </w:p>
    <w:p>
      <w:pPr>
        <w:numPr>
          <w:ilvl w:val="0"/>
          <w:numId w:val="10"/>
        </w:numPr>
        <w:tabs>
          <w:tab w:val="left" w:pos="1035"/>
        </w:tabs>
        <w:autoSpaceDE w:val="0"/>
        <w:autoSpaceDN w:val="0"/>
        <w:spacing w:line="360" w:lineRule="auto"/>
        <w:ind w:left="1035" w:hanging="495"/>
        <w:rPr>
          <w:szCs w:val="21"/>
          <w:lang w:val="zh-CN"/>
        </w:rPr>
      </w:pPr>
      <w:r>
        <w:rPr>
          <w:rFonts w:hint="eastAsia"/>
          <w:szCs w:val="21"/>
          <w:lang w:val="zh-CN"/>
        </w:rPr>
        <w:t>顾客</w:t>
      </w:r>
      <w:r>
        <w:rPr>
          <w:szCs w:val="21"/>
          <w:lang w:val="zh-CN"/>
        </w:rPr>
        <w:t>规定的要求</w:t>
      </w:r>
      <w:r>
        <w:rPr>
          <w:rFonts w:hint="eastAsia"/>
          <w:szCs w:val="21"/>
          <w:lang w:val="zh-CN"/>
        </w:rPr>
        <w:t>，</w:t>
      </w:r>
      <w:r>
        <w:rPr>
          <w:szCs w:val="21"/>
          <w:lang w:val="zh-CN"/>
        </w:rPr>
        <w:t>包括对交付及交付后活动的要求；</w:t>
      </w:r>
    </w:p>
    <w:p>
      <w:pPr>
        <w:numPr>
          <w:ilvl w:val="0"/>
          <w:numId w:val="11"/>
        </w:numPr>
        <w:tabs>
          <w:tab w:val="left" w:pos="1035"/>
        </w:tabs>
        <w:autoSpaceDE w:val="0"/>
        <w:autoSpaceDN w:val="0"/>
        <w:spacing w:line="360" w:lineRule="auto"/>
        <w:ind w:left="1035" w:hanging="495"/>
        <w:rPr>
          <w:szCs w:val="21"/>
          <w:lang w:val="zh-CN"/>
        </w:rPr>
      </w:pPr>
      <w:r>
        <w:rPr>
          <w:rFonts w:hint="eastAsia"/>
          <w:szCs w:val="21"/>
          <w:lang w:val="zh-CN"/>
        </w:rPr>
        <w:t>顾客</w:t>
      </w:r>
      <w:r>
        <w:rPr>
          <w:szCs w:val="21"/>
          <w:lang w:val="zh-CN"/>
        </w:rPr>
        <w:t>虽然没有明示</w:t>
      </w:r>
      <w:r>
        <w:rPr>
          <w:rFonts w:hint="eastAsia"/>
          <w:szCs w:val="21"/>
          <w:lang w:val="zh-CN"/>
        </w:rPr>
        <w:t>，</w:t>
      </w:r>
      <w:r>
        <w:rPr>
          <w:szCs w:val="21"/>
          <w:lang w:val="zh-CN"/>
        </w:rPr>
        <w:t>但规定的用途或已知的预期用途所必须的要求；</w:t>
      </w:r>
    </w:p>
    <w:p>
      <w:pPr>
        <w:numPr>
          <w:ilvl w:val="0"/>
          <w:numId w:val="11"/>
        </w:numPr>
        <w:tabs>
          <w:tab w:val="left" w:pos="1035"/>
        </w:tabs>
        <w:autoSpaceDE w:val="0"/>
        <w:autoSpaceDN w:val="0"/>
        <w:spacing w:line="360" w:lineRule="auto"/>
        <w:ind w:left="1035" w:hanging="495"/>
        <w:rPr>
          <w:szCs w:val="21"/>
          <w:lang w:val="zh-CN"/>
        </w:rPr>
      </w:pPr>
      <w:r>
        <w:rPr>
          <w:rFonts w:hint="eastAsia"/>
          <w:szCs w:val="21"/>
          <w:lang w:val="zh-CN"/>
        </w:rPr>
        <w:t>组织</w:t>
      </w:r>
      <w:r>
        <w:rPr>
          <w:szCs w:val="21"/>
          <w:lang w:val="zh-CN"/>
        </w:rPr>
        <w:t>规定的要求</w:t>
      </w:r>
      <w:r>
        <w:rPr>
          <w:rFonts w:hint="eastAsia"/>
          <w:szCs w:val="21"/>
          <w:lang w:val="zh-CN"/>
        </w:rPr>
        <w:t>；</w:t>
      </w:r>
    </w:p>
    <w:p>
      <w:pPr>
        <w:numPr>
          <w:ilvl w:val="0"/>
          <w:numId w:val="11"/>
        </w:numPr>
        <w:tabs>
          <w:tab w:val="left" w:pos="1035"/>
        </w:tabs>
        <w:autoSpaceDE w:val="0"/>
        <w:autoSpaceDN w:val="0"/>
        <w:spacing w:line="360" w:lineRule="auto"/>
        <w:ind w:left="1035" w:hanging="495"/>
        <w:rPr>
          <w:szCs w:val="21"/>
          <w:lang w:val="zh-CN"/>
        </w:rPr>
      </w:pPr>
      <w:r>
        <w:rPr>
          <w:rFonts w:hint="eastAsia"/>
          <w:szCs w:val="21"/>
          <w:lang w:val="zh-CN"/>
        </w:rPr>
        <w:t>适用于产品和服务的法律法规要求</w:t>
      </w:r>
    </w:p>
    <w:p>
      <w:pPr>
        <w:numPr>
          <w:ilvl w:val="0"/>
          <w:numId w:val="11"/>
        </w:numPr>
        <w:tabs>
          <w:tab w:val="left" w:pos="1035"/>
        </w:tabs>
        <w:autoSpaceDE w:val="0"/>
        <w:autoSpaceDN w:val="0"/>
        <w:spacing w:line="360" w:lineRule="auto"/>
        <w:ind w:left="1035" w:hanging="495"/>
        <w:rPr>
          <w:szCs w:val="21"/>
          <w:lang w:val="zh-CN"/>
        </w:rPr>
      </w:pPr>
      <w:r>
        <w:rPr>
          <w:rFonts w:hint="eastAsia"/>
          <w:szCs w:val="21"/>
          <w:lang w:val="zh-CN"/>
        </w:rPr>
        <w:t>与先前表述存在差异的合同或订单要求</w:t>
      </w:r>
    </w:p>
    <w:p>
      <w:pPr>
        <w:tabs>
          <w:tab w:val="left" w:pos="1035"/>
        </w:tabs>
        <w:autoSpaceDE w:val="0"/>
        <w:autoSpaceDN w:val="0"/>
        <w:spacing w:line="360" w:lineRule="auto"/>
        <w:ind w:firstLine="480" w:firstLineChars="200"/>
        <w:rPr>
          <w:szCs w:val="21"/>
          <w:lang w:val="zh-CN"/>
        </w:rPr>
      </w:pPr>
      <w:r>
        <w:rPr>
          <w:rFonts w:hint="eastAsia"/>
          <w:szCs w:val="21"/>
          <w:lang w:val="zh-CN"/>
        </w:rPr>
        <w:t>若与先前合同或订单的要求存在差异，组织应确保有关事项已得到解决。</w:t>
      </w:r>
    </w:p>
    <w:p>
      <w:pPr>
        <w:autoSpaceDE w:val="0"/>
        <w:autoSpaceDN w:val="0"/>
        <w:spacing w:line="360" w:lineRule="auto"/>
        <w:ind w:firstLine="480" w:firstLineChars="200"/>
        <w:rPr>
          <w:szCs w:val="21"/>
          <w:lang w:val="zh-CN"/>
        </w:rPr>
      </w:pPr>
      <w:r>
        <w:rPr>
          <w:rFonts w:hint="eastAsia"/>
          <w:szCs w:val="21"/>
          <w:lang w:val="zh-CN"/>
        </w:rPr>
        <w:t>若顾客没有提供形成文件的要求，组织在接受顾客要求前应对顾客要求进行确认。</w:t>
      </w:r>
    </w:p>
    <w:p>
      <w:pPr>
        <w:autoSpaceDE w:val="0"/>
        <w:autoSpaceDN w:val="0"/>
        <w:spacing w:line="360" w:lineRule="auto"/>
        <w:ind w:left="540"/>
        <w:rPr>
          <w:szCs w:val="21"/>
          <w:lang w:val="zh-CN"/>
        </w:rPr>
      </w:pPr>
      <w:r>
        <w:rPr>
          <w:szCs w:val="21"/>
          <w:lang w:val="zh-CN"/>
        </w:rPr>
        <w:t>评审结果及评审所引起的措施</w:t>
      </w:r>
      <w:r>
        <w:rPr>
          <w:rFonts w:hint="eastAsia"/>
          <w:szCs w:val="21"/>
          <w:lang w:val="zh-CN"/>
        </w:rPr>
        <w:t>形成</w:t>
      </w:r>
      <w:r>
        <w:rPr>
          <w:szCs w:val="21"/>
          <w:lang w:val="zh-CN"/>
        </w:rPr>
        <w:t>文件的信息应予保持</w:t>
      </w:r>
      <w:r>
        <w:rPr>
          <w:rFonts w:hint="eastAsia"/>
          <w:szCs w:val="21"/>
          <w:lang w:val="zh-CN"/>
        </w:rPr>
        <w:t>，</w:t>
      </w:r>
      <w:r>
        <w:rPr>
          <w:szCs w:val="21"/>
          <w:lang w:val="zh-CN"/>
        </w:rPr>
        <w:t>以证明对顾客签订的最终协议</w:t>
      </w:r>
      <w:r>
        <w:rPr>
          <w:rFonts w:hint="eastAsia"/>
          <w:szCs w:val="21"/>
          <w:lang w:val="zh-CN"/>
        </w:rPr>
        <w:t>，</w:t>
      </w:r>
      <w:r>
        <w:rPr>
          <w:szCs w:val="21"/>
          <w:lang w:val="zh-CN"/>
        </w:rPr>
        <w:t>包括对其修改或变更进行了评审</w:t>
      </w:r>
      <w:r>
        <w:rPr>
          <w:rFonts w:hint="eastAsia"/>
          <w:szCs w:val="21"/>
          <w:lang w:val="zh-CN"/>
        </w:rPr>
        <w:t>，</w:t>
      </w:r>
      <w:r>
        <w:rPr>
          <w:szCs w:val="21"/>
          <w:lang w:val="zh-CN"/>
        </w:rPr>
        <w:t>并证明能够满足产品和服务有关的要求。</w:t>
      </w:r>
    </w:p>
    <w:p>
      <w:pPr>
        <w:autoSpaceDE w:val="0"/>
        <w:autoSpaceDN w:val="0"/>
        <w:spacing w:line="360" w:lineRule="auto"/>
        <w:rPr>
          <w:b/>
        </w:rPr>
      </w:pPr>
      <w:r>
        <w:rPr>
          <w:rFonts w:hint="eastAsia"/>
          <w:b/>
        </w:rPr>
        <w:t>8.2.4  产品和服务要求的变更</w:t>
      </w:r>
    </w:p>
    <w:p>
      <w:pPr>
        <w:autoSpaceDE w:val="0"/>
        <w:autoSpaceDN w:val="0"/>
        <w:spacing w:line="360" w:lineRule="auto"/>
        <w:ind w:firstLine="480" w:firstLineChars="200"/>
        <w:rPr>
          <w:szCs w:val="21"/>
          <w:lang w:val="zh-CN"/>
        </w:rPr>
      </w:pPr>
      <w:r>
        <w:rPr>
          <w:rFonts w:hint="eastAsia"/>
          <w:szCs w:val="21"/>
          <w:lang w:val="zh-CN"/>
        </w:rPr>
        <w:t>当</w:t>
      </w:r>
      <w:r>
        <w:rPr>
          <w:szCs w:val="21"/>
          <w:lang w:val="zh-CN"/>
        </w:rPr>
        <w:t>产品和服务要求发生变更，组织应确保相关文件得到修改。并确保相关人员知道已变更的要求。</w:t>
      </w:r>
    </w:p>
    <w:p>
      <w:pPr>
        <w:autoSpaceDE w:val="0"/>
        <w:autoSpaceDN w:val="0"/>
        <w:spacing w:line="360" w:lineRule="auto"/>
        <w:ind w:firstLine="480" w:firstLineChars="200"/>
        <w:rPr>
          <w:szCs w:val="21"/>
          <w:lang w:val="zh-CN"/>
        </w:rPr>
      </w:pPr>
      <w:r>
        <w:rPr>
          <w:rFonts w:hint="eastAsia"/>
          <w:szCs w:val="21"/>
          <w:lang w:val="zh-CN"/>
        </w:rPr>
        <w:t>公司选择合适的沟通方法，并保留适当的形成文件的信息，如沟通的电子邮件，会议纪要或修改后的订单。</w:t>
      </w:r>
    </w:p>
    <w:p>
      <w:pPr>
        <w:pStyle w:val="44"/>
        <w:ind w:firstLine="0"/>
        <w:rPr>
          <w:b/>
        </w:rPr>
      </w:pPr>
      <w:r>
        <w:rPr>
          <w:rFonts w:hint="eastAsia"/>
          <w:b/>
        </w:rPr>
        <w:t xml:space="preserve">8.3 产品和服务的设计和开发（不适用） </w:t>
      </w:r>
    </w:p>
    <w:p>
      <w:pPr>
        <w:tabs>
          <w:tab w:val="left" w:pos="360"/>
        </w:tabs>
        <w:spacing w:line="360" w:lineRule="auto"/>
        <w:rPr>
          <w:bCs/>
        </w:rPr>
      </w:pPr>
      <w:bookmarkStart w:id="2" w:name="_Hlk535394107"/>
      <w:r>
        <w:rPr>
          <w:rFonts w:hint="eastAsia"/>
          <w:bCs/>
        </w:rPr>
        <w:t>由于本公司</w:t>
      </w:r>
      <w:bookmarkStart w:id="3" w:name="_Hlk40382838"/>
      <w:r>
        <w:rPr>
          <w:rFonts w:hint="eastAsia"/>
          <w:bCs/>
        </w:rPr>
        <w:t>光电材料、半导体、光伏电子产业的技术服务及技术咨询</w:t>
      </w:r>
      <w:bookmarkEnd w:id="3"/>
      <w:r>
        <w:rPr>
          <w:rFonts w:hint="eastAsia"/>
          <w:bCs/>
        </w:rPr>
        <w:t>是根顾客要求提供服务，未涉及“8.3产品和服务的设计和开发”条款，因此该条款不适用于本公司，不适用的8.3条款不影响本公司确保其产品和服务合格的能力或责任，对顾客满意也不会产生影响.</w:t>
      </w:r>
    </w:p>
    <w:bookmarkEnd w:id="2"/>
    <w:p>
      <w:pPr>
        <w:tabs>
          <w:tab w:val="left" w:pos="360"/>
        </w:tabs>
        <w:spacing w:line="360" w:lineRule="auto"/>
        <w:rPr>
          <w:b/>
          <w:color w:val="000000" w:themeColor="text1"/>
        </w:rPr>
      </w:pPr>
      <w:r>
        <w:rPr>
          <w:rFonts w:hint="eastAsia"/>
          <w:b/>
          <w:color w:val="000000" w:themeColor="text1"/>
        </w:rPr>
        <w:t>8.4外部提供过程、产品和服务的控制</w:t>
      </w:r>
    </w:p>
    <w:p>
      <w:pPr>
        <w:tabs>
          <w:tab w:val="left" w:pos="360"/>
        </w:tabs>
        <w:spacing w:line="360" w:lineRule="auto"/>
        <w:rPr>
          <w:b/>
        </w:rPr>
      </w:pPr>
      <w:r>
        <w:rPr>
          <w:rFonts w:hint="eastAsia"/>
          <w:b/>
        </w:rPr>
        <w:t>8.4.1总则</w:t>
      </w:r>
    </w:p>
    <w:p>
      <w:pPr>
        <w:spacing w:line="440" w:lineRule="exact"/>
        <w:ind w:firstLine="482" w:firstLineChars="200"/>
        <w:rPr>
          <w:rFonts w:ascii="宋体" w:hAnsi="宋体"/>
          <w:szCs w:val="24"/>
        </w:rPr>
      </w:pPr>
      <w:r>
        <w:rPr>
          <w:rFonts w:hint="eastAsia" w:ascii="宋体" w:hAnsi="宋体"/>
          <w:b/>
          <w:szCs w:val="24"/>
        </w:rPr>
        <w:t>供销部</w:t>
      </w:r>
      <w:r>
        <w:rPr>
          <w:rFonts w:hint="eastAsia" w:ascii="宋体" w:hAnsi="宋体"/>
          <w:szCs w:val="24"/>
        </w:rPr>
        <w:t>应确保外部提供的过程、产品和服务符合服务过程和产品质量要求。制定《采购和外部供方控制程序》，在下列情况下，应确定对外部提供的过程、产品和服务实施控制：</w:t>
      </w:r>
    </w:p>
    <w:p>
      <w:pPr>
        <w:spacing w:line="440" w:lineRule="exact"/>
        <w:rPr>
          <w:rFonts w:ascii="宋体" w:hAnsi="宋体"/>
          <w:szCs w:val="24"/>
        </w:rPr>
      </w:pPr>
      <w:r>
        <w:rPr>
          <w:rFonts w:hint="eastAsia" w:ascii="宋体" w:hAnsi="宋体"/>
          <w:szCs w:val="24"/>
        </w:rPr>
        <w:t xml:space="preserve">       a) 外部供方的过程、产品构成公司自身的产品的一部分； </w:t>
      </w:r>
    </w:p>
    <w:p>
      <w:pPr>
        <w:spacing w:line="440" w:lineRule="exact"/>
        <w:rPr>
          <w:rFonts w:ascii="宋体" w:hAnsi="宋体"/>
          <w:szCs w:val="24"/>
        </w:rPr>
      </w:pPr>
      <w:r>
        <w:rPr>
          <w:rFonts w:hint="eastAsia" w:ascii="宋体" w:hAnsi="宋体"/>
          <w:szCs w:val="24"/>
        </w:rPr>
        <w:t xml:space="preserve">       b) 外部供方替公司直接将产品提供给顾客； </w:t>
      </w:r>
    </w:p>
    <w:p>
      <w:pPr>
        <w:spacing w:line="440" w:lineRule="exact"/>
        <w:rPr>
          <w:rFonts w:ascii="宋体" w:hAnsi="宋体"/>
          <w:szCs w:val="24"/>
        </w:rPr>
      </w:pPr>
      <w:r>
        <w:rPr>
          <w:rFonts w:hint="eastAsia" w:ascii="宋体" w:hAnsi="宋体"/>
          <w:szCs w:val="24"/>
        </w:rPr>
        <w:t xml:space="preserve">       c) 公司决定由外部供方提供过程或部分过程。  </w:t>
      </w:r>
    </w:p>
    <w:p>
      <w:pPr>
        <w:spacing w:line="360" w:lineRule="auto"/>
        <w:ind w:firstLine="482" w:firstLineChars="200"/>
      </w:pPr>
      <w:r>
        <w:rPr>
          <w:rFonts w:hint="eastAsia" w:ascii="宋体" w:hAnsi="宋体"/>
          <w:b/>
          <w:szCs w:val="24"/>
        </w:rPr>
        <w:t>供销部</w:t>
      </w:r>
      <w:r>
        <w:rPr>
          <w:rFonts w:hint="eastAsia" w:ascii="宋体" w:hAnsi="宋体"/>
          <w:szCs w:val="24"/>
        </w:rPr>
        <w:t>应基于外部供方提供所要求的过程、产品和服务的能力，确定对外部供方的评价、选择、绩效监视以及再评价的准则，并加以实施。评价活动和由评价引发的任何必要的措施的记录应予以保留</w:t>
      </w:r>
      <w:r>
        <w:t>。</w:t>
      </w:r>
    </w:p>
    <w:p>
      <w:pPr>
        <w:spacing w:line="360" w:lineRule="auto"/>
        <w:rPr>
          <w:b/>
        </w:rPr>
      </w:pPr>
      <w:r>
        <w:rPr>
          <w:rFonts w:hint="eastAsia"/>
          <w:b/>
        </w:rPr>
        <w:t>8.4.2控制类型和程度</w:t>
      </w:r>
    </w:p>
    <w:p>
      <w:pPr>
        <w:spacing w:line="440" w:lineRule="exact"/>
        <w:ind w:firstLine="482" w:firstLineChars="200"/>
        <w:rPr>
          <w:rFonts w:ascii="宋体" w:hAnsi="宋体"/>
          <w:szCs w:val="24"/>
        </w:rPr>
      </w:pPr>
      <w:r>
        <w:rPr>
          <w:rFonts w:hint="eastAsia" w:ascii="宋体" w:hAnsi="宋体"/>
          <w:b/>
          <w:szCs w:val="24"/>
        </w:rPr>
        <w:t>供销部</w:t>
      </w:r>
      <w:r>
        <w:rPr>
          <w:rFonts w:hint="eastAsia" w:ascii="宋体" w:hAnsi="宋体"/>
          <w:szCs w:val="24"/>
        </w:rPr>
        <w:t xml:space="preserve">应确保外部提供的过程、产品和服务不会对公司稳定地向顾客交付合格产品的能力产生不利影响。为此应做到： </w:t>
      </w:r>
    </w:p>
    <w:p>
      <w:pPr>
        <w:spacing w:line="440" w:lineRule="exact"/>
        <w:rPr>
          <w:rFonts w:ascii="宋体" w:hAnsi="宋体"/>
          <w:szCs w:val="24"/>
        </w:rPr>
      </w:pPr>
      <w:r>
        <w:rPr>
          <w:rFonts w:hint="eastAsia" w:ascii="宋体" w:hAnsi="宋体"/>
          <w:szCs w:val="24"/>
        </w:rPr>
        <w:t xml:space="preserve">       a) 确保外部提供的过程、产品和服务保持在质量管理体系的控制之中；  </w:t>
      </w:r>
    </w:p>
    <w:p>
      <w:pPr>
        <w:spacing w:line="440" w:lineRule="exact"/>
        <w:rPr>
          <w:rFonts w:ascii="宋体" w:hAnsi="宋体"/>
          <w:szCs w:val="24"/>
        </w:rPr>
      </w:pPr>
      <w:r>
        <w:rPr>
          <w:rFonts w:hint="eastAsia" w:ascii="宋体" w:hAnsi="宋体"/>
          <w:szCs w:val="24"/>
        </w:rPr>
        <w:t xml:space="preserve">       b）规定对外部供方的控制及其输出结果的控制；  </w:t>
      </w:r>
    </w:p>
    <w:p>
      <w:pPr>
        <w:spacing w:line="440" w:lineRule="exact"/>
        <w:rPr>
          <w:rFonts w:ascii="宋体" w:hAnsi="宋体"/>
          <w:szCs w:val="24"/>
        </w:rPr>
      </w:pPr>
      <w:r>
        <w:rPr>
          <w:rFonts w:hint="eastAsia" w:ascii="宋体" w:hAnsi="宋体"/>
          <w:szCs w:val="24"/>
        </w:rPr>
        <w:t xml:space="preserve">       c）考虑：  </w:t>
      </w:r>
    </w:p>
    <w:p>
      <w:pPr>
        <w:spacing w:line="440" w:lineRule="exact"/>
        <w:rPr>
          <w:rFonts w:ascii="宋体" w:hAnsi="宋体"/>
          <w:szCs w:val="24"/>
        </w:rPr>
      </w:pPr>
      <w:r>
        <w:rPr>
          <w:rFonts w:hint="eastAsia" w:ascii="宋体" w:hAnsi="宋体"/>
          <w:szCs w:val="24"/>
        </w:rPr>
        <w:t xml:space="preserve">        1）外部提供的过程、产品和服务对公司稳定地提供满足顾客要求和适用的法律法规要求的能力的潜在影响； </w:t>
      </w:r>
    </w:p>
    <w:p>
      <w:pPr>
        <w:spacing w:line="440" w:lineRule="exact"/>
        <w:rPr>
          <w:rFonts w:ascii="宋体" w:hAnsi="宋体"/>
          <w:szCs w:val="24"/>
        </w:rPr>
      </w:pPr>
      <w:r>
        <w:rPr>
          <w:rFonts w:hint="eastAsia" w:ascii="宋体" w:hAnsi="宋体"/>
          <w:szCs w:val="24"/>
        </w:rPr>
        <w:t xml:space="preserve">        2）外部供方自身控制的有效性与质量管理体系认证的要求；</w:t>
      </w:r>
    </w:p>
    <w:p>
      <w:pPr>
        <w:autoSpaceDE w:val="0"/>
        <w:autoSpaceDN w:val="0"/>
        <w:spacing w:line="360" w:lineRule="auto"/>
      </w:pPr>
      <w:r>
        <w:rPr>
          <w:rFonts w:hint="eastAsia" w:ascii="宋体" w:hAnsi="宋体"/>
          <w:szCs w:val="24"/>
        </w:rPr>
        <w:t xml:space="preserve">       d）供销部确定必要的验证或其他活动，以确保外部提供的过程、产品和服务满足要求</w:t>
      </w:r>
      <w:r>
        <w:t>。</w:t>
      </w:r>
    </w:p>
    <w:p>
      <w:pPr>
        <w:spacing w:line="360" w:lineRule="auto"/>
        <w:rPr>
          <w:b/>
        </w:rPr>
      </w:pPr>
      <w:r>
        <w:rPr>
          <w:rFonts w:hint="eastAsia"/>
          <w:b/>
        </w:rPr>
        <w:t>8.4.3外部供方的信息：</w:t>
      </w:r>
    </w:p>
    <w:p>
      <w:pPr>
        <w:spacing w:line="440" w:lineRule="exact"/>
        <w:ind w:firstLine="482" w:firstLineChars="200"/>
        <w:rPr>
          <w:rFonts w:ascii="宋体" w:hAnsi="宋体"/>
          <w:szCs w:val="24"/>
        </w:rPr>
      </w:pPr>
      <w:r>
        <w:rPr>
          <w:rFonts w:hint="eastAsia" w:ascii="宋体" w:hAnsi="宋体"/>
          <w:b/>
          <w:bCs/>
          <w:szCs w:val="24"/>
        </w:rPr>
        <w:t>供销部</w:t>
      </w:r>
      <w:r>
        <w:rPr>
          <w:rFonts w:hint="eastAsia" w:ascii="宋体" w:hAnsi="宋体"/>
          <w:szCs w:val="24"/>
        </w:rPr>
        <w:t xml:space="preserve">应确保在与外部供方签订协议前，充分进行沟通，确保外部方提供的产品或过程要求明确具体。与外部供方沟通包括以下要求：  </w:t>
      </w:r>
    </w:p>
    <w:p>
      <w:pPr>
        <w:spacing w:line="440" w:lineRule="exact"/>
        <w:rPr>
          <w:rFonts w:ascii="宋体" w:hAnsi="宋体"/>
          <w:szCs w:val="24"/>
        </w:rPr>
      </w:pPr>
      <w:r>
        <w:rPr>
          <w:rFonts w:hint="eastAsia" w:ascii="宋体" w:hAnsi="宋体"/>
          <w:szCs w:val="24"/>
        </w:rPr>
        <w:t xml:space="preserve">       a) 所提供的过程和产品；  </w:t>
      </w:r>
    </w:p>
    <w:p>
      <w:pPr>
        <w:spacing w:line="440" w:lineRule="exact"/>
        <w:rPr>
          <w:rFonts w:ascii="宋体" w:hAnsi="宋体"/>
          <w:szCs w:val="24"/>
        </w:rPr>
      </w:pPr>
      <w:r>
        <w:rPr>
          <w:rFonts w:hint="eastAsia" w:ascii="宋体" w:hAnsi="宋体"/>
          <w:szCs w:val="24"/>
        </w:rPr>
        <w:t xml:space="preserve">       b) 对下列内容的批准：  </w:t>
      </w:r>
    </w:p>
    <w:p>
      <w:pPr>
        <w:spacing w:line="440" w:lineRule="exact"/>
        <w:rPr>
          <w:rFonts w:ascii="宋体" w:hAnsi="宋体"/>
          <w:szCs w:val="24"/>
        </w:rPr>
      </w:pPr>
      <w:r>
        <w:rPr>
          <w:rFonts w:hint="eastAsia" w:ascii="宋体" w:hAnsi="宋体"/>
          <w:szCs w:val="24"/>
        </w:rPr>
        <w:t xml:space="preserve">         1）产品和服务；  </w:t>
      </w:r>
    </w:p>
    <w:p>
      <w:pPr>
        <w:spacing w:line="360" w:lineRule="auto"/>
      </w:pPr>
      <w:r>
        <w:rPr>
          <w:rFonts w:hint="eastAsia" w:ascii="宋体" w:hAnsi="宋体"/>
          <w:szCs w:val="24"/>
        </w:rPr>
        <w:t xml:space="preserve">         2）方法、过程和设备</w:t>
      </w:r>
      <w:r>
        <w:rPr>
          <w:rFonts w:hint="eastAsia"/>
        </w:rPr>
        <w:t>。</w:t>
      </w:r>
    </w:p>
    <w:p>
      <w:pPr>
        <w:spacing w:line="400" w:lineRule="exact"/>
        <w:ind w:firstLine="1080" w:firstLineChars="450"/>
        <w:rPr>
          <w:rFonts w:ascii="宋体" w:hAnsi="宋体"/>
          <w:szCs w:val="24"/>
        </w:rPr>
      </w:pPr>
      <w:r>
        <w:rPr>
          <w:rFonts w:hint="eastAsia" w:ascii="宋体" w:hAnsi="宋体"/>
          <w:szCs w:val="24"/>
        </w:rPr>
        <w:t>3）产品/服务的放行；</w:t>
      </w:r>
    </w:p>
    <w:p>
      <w:pPr>
        <w:spacing w:line="400" w:lineRule="exact"/>
        <w:ind w:left="1" w:firstLine="720" w:firstLineChars="300"/>
        <w:rPr>
          <w:rFonts w:ascii="宋体" w:hAnsi="宋体"/>
          <w:szCs w:val="24"/>
        </w:rPr>
      </w:pPr>
      <w:r>
        <w:rPr>
          <w:rFonts w:hint="eastAsia" w:ascii="宋体" w:hAnsi="宋体"/>
          <w:szCs w:val="24"/>
        </w:rPr>
        <w:t xml:space="preserve">c) 能力，包括所要求的人员资质；  </w:t>
      </w:r>
    </w:p>
    <w:p>
      <w:pPr>
        <w:spacing w:line="400" w:lineRule="exact"/>
        <w:ind w:left="1"/>
        <w:rPr>
          <w:rFonts w:ascii="宋体" w:hAnsi="宋体"/>
          <w:szCs w:val="24"/>
        </w:rPr>
      </w:pPr>
      <w:r>
        <w:rPr>
          <w:rFonts w:hint="eastAsia" w:ascii="宋体" w:hAnsi="宋体"/>
          <w:szCs w:val="24"/>
        </w:rPr>
        <w:t xml:space="preserve">      d）与外部供方的互动；  </w:t>
      </w:r>
    </w:p>
    <w:p>
      <w:pPr>
        <w:spacing w:line="400" w:lineRule="exact"/>
        <w:ind w:left="1"/>
        <w:rPr>
          <w:rFonts w:ascii="宋体" w:hAnsi="宋体"/>
          <w:szCs w:val="24"/>
        </w:rPr>
      </w:pPr>
      <w:r>
        <w:rPr>
          <w:rFonts w:hint="eastAsia" w:ascii="宋体" w:hAnsi="宋体"/>
          <w:szCs w:val="24"/>
        </w:rPr>
        <w:t xml:space="preserve">      e）对外部供方进行绩效的控制和监视；</w:t>
      </w:r>
    </w:p>
    <w:p>
      <w:pPr>
        <w:spacing w:line="360" w:lineRule="auto"/>
      </w:pPr>
      <w:r>
        <w:rPr>
          <w:rFonts w:hint="eastAsia" w:ascii="宋体" w:hAnsi="宋体"/>
          <w:szCs w:val="24"/>
        </w:rPr>
        <w:t xml:space="preserve">      f）公司或顾客拟在外部供方现场实施的验证或确认活动</w:t>
      </w:r>
    </w:p>
    <w:p>
      <w:pPr>
        <w:spacing w:line="360" w:lineRule="auto"/>
        <w:rPr>
          <w:b/>
        </w:rPr>
      </w:pPr>
      <w:r>
        <w:rPr>
          <w:rFonts w:hint="eastAsia"/>
          <w:b/>
        </w:rPr>
        <w:t>8.5服务和服务提供</w:t>
      </w:r>
    </w:p>
    <w:p>
      <w:pPr>
        <w:spacing w:line="360" w:lineRule="auto"/>
        <w:rPr>
          <w:b/>
        </w:rPr>
      </w:pPr>
      <w:r>
        <w:rPr>
          <w:rFonts w:hint="eastAsia"/>
          <w:b/>
        </w:rPr>
        <w:t>8.5.1服务和服务提供过程的控制</w:t>
      </w:r>
    </w:p>
    <w:p>
      <w:pPr>
        <w:spacing w:line="400" w:lineRule="exact"/>
        <w:ind w:firstLine="482" w:firstLineChars="200"/>
        <w:rPr>
          <w:rFonts w:ascii="宋体" w:hAnsi="宋体"/>
          <w:szCs w:val="24"/>
        </w:rPr>
      </w:pPr>
      <w:bookmarkStart w:id="4" w:name="_Hlk40382743"/>
      <w:r>
        <w:rPr>
          <w:rFonts w:hint="eastAsia" w:ascii="宋体" w:hAnsi="宋体"/>
          <w:b/>
          <w:szCs w:val="24"/>
        </w:rPr>
        <w:t>项目部</w:t>
      </w:r>
      <w:r>
        <w:rPr>
          <w:rFonts w:hint="eastAsia" w:ascii="宋体" w:hAnsi="宋体"/>
          <w:szCs w:val="24"/>
        </w:rPr>
        <w:t>为</w:t>
      </w:r>
      <w:bookmarkEnd w:id="4"/>
      <w:r>
        <w:rPr>
          <w:rFonts w:hint="eastAsia" w:ascii="宋体" w:hAnsi="宋体"/>
          <w:szCs w:val="24"/>
        </w:rPr>
        <w:t xml:space="preserve">确保产品/服务合格，对过程进行控制。适用时，受控条件应包括：  </w:t>
      </w:r>
    </w:p>
    <w:p>
      <w:pPr>
        <w:spacing w:line="400" w:lineRule="exact"/>
        <w:ind w:left="1"/>
        <w:rPr>
          <w:rFonts w:ascii="宋体" w:hAnsi="宋体"/>
          <w:bCs/>
          <w:szCs w:val="24"/>
        </w:rPr>
      </w:pPr>
      <w:r>
        <w:rPr>
          <w:rFonts w:hint="eastAsia" w:ascii="宋体" w:hAnsi="宋体"/>
          <w:szCs w:val="24"/>
        </w:rPr>
        <w:t xml:space="preserve">      a) </w:t>
      </w:r>
      <w:r>
        <w:rPr>
          <w:rFonts w:hint="eastAsia" w:ascii="宋体" w:hAnsi="宋体"/>
          <w:bCs/>
          <w:szCs w:val="24"/>
        </w:rPr>
        <w:t>项目部根据产品/服务实现的策划要求，组织编制相应的产品/服务接受标准、作业指导书、检验规程等，并受控发放至有关部门，作为光电材料、半导体、光伏电子产业的设备维修服务、检验的依据；</w:t>
      </w:r>
    </w:p>
    <w:p>
      <w:pPr>
        <w:spacing w:line="400" w:lineRule="exact"/>
        <w:ind w:left="1"/>
        <w:rPr>
          <w:rFonts w:ascii="宋体" w:hAnsi="宋体"/>
          <w:bCs/>
          <w:szCs w:val="24"/>
        </w:rPr>
      </w:pPr>
      <w:r>
        <w:rPr>
          <w:rFonts w:hint="eastAsia" w:ascii="宋体" w:hAnsi="宋体"/>
          <w:bCs/>
          <w:szCs w:val="24"/>
        </w:rPr>
        <w:t xml:space="preserve">      b) 项目部负责对产品实现过程所需的监视和测量活动配置适宜的监视和测量仪器设备，确保光电材料、半导体、光伏电子产业的技术服务及技术咨询、服务现场使用的监视和测量仪器设备在检定合格的有效使用期内；  </w:t>
      </w:r>
    </w:p>
    <w:p>
      <w:pPr>
        <w:spacing w:line="400" w:lineRule="exact"/>
        <w:ind w:left="1"/>
        <w:rPr>
          <w:rFonts w:ascii="宋体" w:hAnsi="宋体"/>
          <w:bCs/>
          <w:szCs w:val="24"/>
        </w:rPr>
      </w:pPr>
      <w:r>
        <w:rPr>
          <w:rFonts w:hint="eastAsia" w:ascii="宋体" w:hAnsi="宋体"/>
          <w:bCs/>
          <w:szCs w:val="24"/>
        </w:rPr>
        <w:t xml:space="preserve">      c) 项目部为负责按策划的安排，依据相关的检验规程，对产品/服务实施检验和试验，以验证是否符合产品的接收标准，并做好过程的监控和记录；</w:t>
      </w:r>
    </w:p>
    <w:p>
      <w:pPr>
        <w:spacing w:line="460" w:lineRule="exact"/>
        <w:ind w:left="1"/>
        <w:rPr>
          <w:rFonts w:ascii="宋体" w:hAnsi="宋体"/>
          <w:bCs/>
          <w:szCs w:val="24"/>
        </w:rPr>
      </w:pPr>
      <w:r>
        <w:rPr>
          <w:rFonts w:hint="eastAsia" w:ascii="宋体" w:hAnsi="宋体"/>
          <w:bCs/>
          <w:szCs w:val="24"/>
        </w:rPr>
        <w:t xml:space="preserve">      d) 项目部为根据产品实现的需要，配置适宜的设备，并按要求实施维护保养。</w:t>
      </w:r>
    </w:p>
    <w:p>
      <w:pPr>
        <w:spacing w:line="460" w:lineRule="exact"/>
        <w:ind w:left="1"/>
        <w:rPr>
          <w:rFonts w:ascii="宋体" w:hAnsi="宋体"/>
          <w:bCs/>
          <w:szCs w:val="24"/>
        </w:rPr>
      </w:pPr>
      <w:r>
        <w:rPr>
          <w:rFonts w:hint="eastAsia" w:ascii="宋体" w:hAnsi="宋体"/>
          <w:bCs/>
          <w:szCs w:val="24"/>
        </w:rPr>
        <w:t xml:space="preserve">      e）办公室负责为各岗位提供满足能力资格的人员。确保岗位能力要求，相关操作人员要进行岗位技能培训、考核合格才能上岗；  </w:t>
      </w:r>
    </w:p>
    <w:p>
      <w:pPr>
        <w:spacing w:line="460" w:lineRule="exact"/>
        <w:ind w:left="240" w:leftChars="100" w:firstLine="480" w:firstLineChars="200"/>
        <w:rPr>
          <w:rFonts w:ascii="宋体" w:hAnsi="宋体"/>
          <w:bCs/>
          <w:szCs w:val="24"/>
        </w:rPr>
      </w:pPr>
      <w:r>
        <w:rPr>
          <w:rFonts w:hint="eastAsia" w:ascii="宋体" w:hAnsi="宋体"/>
          <w:bCs/>
          <w:szCs w:val="24"/>
        </w:rPr>
        <w:t>f）本公司生产/服务过程中特殊过程为：焊接过程</w:t>
      </w:r>
    </w:p>
    <w:p>
      <w:pPr>
        <w:spacing w:line="440" w:lineRule="exact"/>
        <w:rPr>
          <w:rFonts w:ascii="宋体" w:hAnsi="宋体"/>
          <w:bCs/>
          <w:szCs w:val="24"/>
        </w:rPr>
      </w:pPr>
      <w:r>
        <w:rPr>
          <w:rFonts w:hint="eastAsia" w:ascii="宋体" w:hAnsi="宋体"/>
          <w:bCs/>
          <w:szCs w:val="24"/>
        </w:rPr>
        <w:t xml:space="preserve">      g）在服务过程中，采取措施防止人为错误；  </w:t>
      </w:r>
    </w:p>
    <w:p>
      <w:pPr>
        <w:spacing w:line="360" w:lineRule="auto"/>
        <w:rPr>
          <w:b/>
        </w:rPr>
      </w:pPr>
      <w:r>
        <w:rPr>
          <w:rFonts w:hint="eastAsia" w:ascii="宋体" w:hAnsi="宋体"/>
          <w:szCs w:val="24"/>
        </w:rPr>
        <w:t xml:space="preserve">      h）项目部负责产品放行、交付和交付后活动</w:t>
      </w:r>
    </w:p>
    <w:p>
      <w:pPr>
        <w:autoSpaceDE w:val="0"/>
        <w:autoSpaceDN w:val="0"/>
        <w:spacing w:line="360" w:lineRule="auto"/>
        <w:rPr>
          <w:b/>
          <w:szCs w:val="21"/>
          <w:lang w:val="zh-CN"/>
        </w:rPr>
      </w:pPr>
      <w:r>
        <w:rPr>
          <w:rFonts w:hint="eastAsia"/>
          <w:b/>
          <w:szCs w:val="21"/>
          <w:lang w:val="zh-CN"/>
        </w:rPr>
        <w:t>8.5.2标识和可追溯性：</w:t>
      </w:r>
    </w:p>
    <w:p>
      <w:pPr>
        <w:spacing w:line="360" w:lineRule="auto"/>
        <w:ind w:firstLine="480" w:firstLineChars="200"/>
      </w:pPr>
      <w:r>
        <w:rPr>
          <w:rFonts w:hint="eastAsia"/>
        </w:rPr>
        <w:t>1）在产品/服务实现的全过程中，项目部应针</w:t>
      </w:r>
      <w:r>
        <w:rPr>
          <w:rFonts w:hint="eastAsia" w:ascii="宋体" w:hAnsi="宋体"/>
        </w:rPr>
        <w:t>对监视和测量要求，识别产品的状态，并</w:t>
      </w:r>
      <w:r>
        <w:rPr>
          <w:rFonts w:hint="eastAsia"/>
        </w:rPr>
        <w:t>依据可追溯的规定对标识的有效性进行监控；当产品出现重大问题时，负责组织对其进行追溯。</w:t>
      </w:r>
    </w:p>
    <w:p>
      <w:pPr>
        <w:spacing w:line="360" w:lineRule="auto"/>
        <w:ind w:firstLine="480" w:firstLineChars="200"/>
      </w:pPr>
      <w:r>
        <w:rPr>
          <w:rFonts w:hint="eastAsia"/>
        </w:rPr>
        <w:t>2）公司产品标识有品名、货号等。</w:t>
      </w:r>
    </w:p>
    <w:p>
      <w:pPr>
        <w:spacing w:line="360" w:lineRule="auto"/>
        <w:ind w:firstLine="480" w:firstLineChars="200"/>
      </w:pPr>
      <w:r>
        <w:rPr>
          <w:rFonts w:hint="eastAsia"/>
        </w:rPr>
        <w:t>3）各相关部门负责所属区域内产品的标识，并对所有标识维护。</w:t>
      </w:r>
    </w:p>
    <w:p>
      <w:pPr>
        <w:spacing w:line="360" w:lineRule="auto"/>
        <w:ind w:firstLine="480" w:firstLineChars="200"/>
      </w:pPr>
      <w:r>
        <w:rPr>
          <w:rFonts w:hint="eastAsia"/>
        </w:rPr>
        <w:t>4） 产品测量状态标识为：合格、不合格、待检、待定；使用标牌、区域和记录进行状态标识；在光电材料、半导体、光伏电子产业的技术服务及技术咨询以标牌和区域标识。</w:t>
      </w:r>
    </w:p>
    <w:p>
      <w:pPr>
        <w:spacing w:line="360" w:lineRule="auto"/>
        <w:ind w:firstLine="465"/>
        <w:rPr>
          <w:szCs w:val="21"/>
          <w:lang w:val="zh-CN"/>
        </w:rPr>
      </w:pPr>
      <w:r>
        <w:rPr>
          <w:rFonts w:hint="eastAsia"/>
        </w:rPr>
        <w:t>5）</w:t>
      </w:r>
      <w:r>
        <w:rPr>
          <w:bCs/>
          <w:szCs w:val="21"/>
          <w:lang w:val="zh-CN"/>
        </w:rPr>
        <w:t>本公司</w:t>
      </w:r>
      <w:r>
        <w:rPr>
          <w:rFonts w:hint="eastAsia"/>
          <w:bCs/>
          <w:szCs w:val="21"/>
          <w:lang w:val="zh-CN"/>
        </w:rPr>
        <w:t>保留</w:t>
      </w:r>
      <w:r>
        <w:rPr>
          <w:bCs/>
          <w:szCs w:val="21"/>
          <w:lang w:val="zh-CN"/>
        </w:rPr>
        <w:t>实现可追溯性所需的形成文件的信息</w:t>
      </w:r>
      <w:r>
        <w:rPr>
          <w:rFonts w:hint="eastAsia"/>
          <w:bCs/>
          <w:szCs w:val="21"/>
          <w:lang w:val="zh-CN"/>
        </w:rPr>
        <w:t>， 以</w:t>
      </w:r>
      <w:r>
        <w:rPr>
          <w:bCs/>
          <w:szCs w:val="21"/>
          <w:lang w:val="zh-CN"/>
        </w:rPr>
        <w:t>满足标识与可追溯性要求。</w:t>
      </w:r>
    </w:p>
    <w:p>
      <w:pPr>
        <w:tabs>
          <w:tab w:val="left" w:pos="360"/>
        </w:tabs>
        <w:spacing w:line="360" w:lineRule="auto"/>
        <w:rPr>
          <w:b/>
        </w:rPr>
      </w:pPr>
      <w:r>
        <w:rPr>
          <w:rFonts w:hint="eastAsia"/>
          <w:b/>
        </w:rPr>
        <w:t>8.5.3顾客或外部供方的财产：</w:t>
      </w:r>
    </w:p>
    <w:p>
      <w:pPr>
        <w:numPr>
          <w:ilvl w:val="0"/>
          <w:numId w:val="12"/>
        </w:numPr>
        <w:spacing w:line="400" w:lineRule="exact"/>
        <w:ind w:left="851" w:hanging="425"/>
        <w:rPr>
          <w:rFonts w:ascii="宋体" w:hAnsi="宋体"/>
          <w:szCs w:val="24"/>
        </w:rPr>
      </w:pPr>
      <w:r>
        <w:rPr>
          <w:rFonts w:hint="eastAsia" w:ascii="宋体" w:hAnsi="宋体"/>
          <w:szCs w:val="24"/>
        </w:rPr>
        <w:t>公司在控制或使用顾客或外部供方的财产期间，应对其进行妥善管理。</w:t>
      </w:r>
    </w:p>
    <w:p>
      <w:pPr>
        <w:numPr>
          <w:ilvl w:val="0"/>
          <w:numId w:val="12"/>
        </w:numPr>
        <w:spacing w:line="400" w:lineRule="exact"/>
        <w:ind w:left="850" w:hanging="425"/>
        <w:rPr>
          <w:rFonts w:ascii="宋体" w:hAnsi="宋体"/>
          <w:szCs w:val="24"/>
        </w:rPr>
      </w:pPr>
      <w:r>
        <w:rPr>
          <w:rFonts w:hint="eastAsia" w:ascii="宋体" w:hAnsi="宋体"/>
          <w:szCs w:val="24"/>
        </w:rPr>
        <w:t xml:space="preserve">公司使用的或构成产品一部分的顾客和外部供方财产，如图纸、材料、零部件、工具和设备，顾客的场所，知识产权和个人信息。应予以识别、验证、保护和维护。 </w:t>
      </w:r>
    </w:p>
    <w:p>
      <w:pPr>
        <w:numPr>
          <w:ilvl w:val="0"/>
          <w:numId w:val="12"/>
        </w:numPr>
        <w:spacing w:line="360" w:lineRule="auto"/>
        <w:ind w:left="850" w:hanging="425"/>
      </w:pPr>
      <w:r>
        <w:rPr>
          <w:rFonts w:hint="eastAsia" w:ascii="宋体" w:hAnsi="宋体"/>
          <w:szCs w:val="24"/>
        </w:rPr>
        <w:t>若顾客或外部供方的财产发生丢失、损坏或发现不适用情况，应向顾客或外部供方报告，并保留相关记录。</w:t>
      </w:r>
    </w:p>
    <w:p>
      <w:pPr>
        <w:numPr>
          <w:ilvl w:val="0"/>
          <w:numId w:val="12"/>
        </w:numPr>
        <w:spacing w:line="360" w:lineRule="auto"/>
        <w:ind w:left="850" w:hanging="425"/>
      </w:pPr>
      <w:r>
        <w:rPr>
          <w:rFonts w:hint="eastAsia"/>
        </w:rPr>
        <w:t>本公司的顾客财产主要包括：顾客提供的图纸、技术要求、产品、供方/顾客等相关方的信息。</w:t>
      </w:r>
    </w:p>
    <w:p>
      <w:pPr>
        <w:tabs>
          <w:tab w:val="left" w:pos="360"/>
        </w:tabs>
        <w:spacing w:line="360" w:lineRule="auto"/>
        <w:rPr>
          <w:b/>
        </w:rPr>
      </w:pPr>
      <w:r>
        <w:rPr>
          <w:rFonts w:hint="eastAsia"/>
          <w:b/>
        </w:rPr>
        <w:t>8.5.4防护：</w:t>
      </w:r>
    </w:p>
    <w:p>
      <w:pPr>
        <w:spacing w:line="360" w:lineRule="auto"/>
        <w:ind w:firstLine="480" w:firstLineChars="200"/>
      </w:pPr>
      <w:r>
        <w:rPr>
          <w:rFonts w:hint="eastAsia"/>
        </w:rPr>
        <w:t>公司在内部处理和交付到预定的地点期间对产品提供防护，以保持符合要求。适用时，这种防护应包括标识、搬运、包装、贮存和保护。</w:t>
      </w:r>
    </w:p>
    <w:p>
      <w:pPr>
        <w:spacing w:line="360" w:lineRule="auto"/>
        <w:ind w:firstLine="472" w:firstLineChars="196"/>
        <w:rPr>
          <w:b/>
        </w:rPr>
      </w:pPr>
      <w:r>
        <w:rPr>
          <w:rFonts w:hint="eastAsia"/>
          <w:b/>
        </w:rPr>
        <w:t>1）产品搬运的控制</w:t>
      </w:r>
    </w:p>
    <w:p>
      <w:pPr>
        <w:spacing w:line="360" w:lineRule="auto"/>
        <w:ind w:firstLine="480" w:firstLineChars="200"/>
      </w:pPr>
      <w:r>
        <w:rPr>
          <w:rFonts w:hint="eastAsia"/>
        </w:rPr>
        <w:t>项目部根据产品的特点，配置适宜的搬运工具，规定合理的搬运方法，对易损、危险产品应制定专门的搬运指导书。搬运人员应按照要求进行搬运，注意保护好产品，防止丢失或损坏。</w:t>
      </w:r>
    </w:p>
    <w:p>
      <w:pPr>
        <w:spacing w:line="360" w:lineRule="auto"/>
        <w:ind w:firstLine="472" w:firstLineChars="196"/>
        <w:rPr>
          <w:b/>
        </w:rPr>
      </w:pPr>
      <w:r>
        <w:rPr>
          <w:rFonts w:hint="eastAsia"/>
          <w:b/>
        </w:rPr>
        <w:t>2） 包装控制</w:t>
      </w:r>
    </w:p>
    <w:p>
      <w:pPr>
        <w:spacing w:line="360" w:lineRule="auto"/>
        <w:ind w:firstLine="480" w:firstLineChars="200"/>
      </w:pPr>
      <w:r>
        <w:rPr>
          <w:rFonts w:hint="eastAsia"/>
        </w:rPr>
        <w:t>项目部负责确定包装材料、包装设计和要求，根据需要编制相应的包装作业指导书。操作人员在包装过程中应注意核对产品合格证；保持产品外观清洁、完整；包装后进行正确的标识。</w:t>
      </w:r>
    </w:p>
    <w:p>
      <w:pPr>
        <w:spacing w:line="360" w:lineRule="auto"/>
        <w:ind w:firstLine="472" w:firstLineChars="196"/>
        <w:rPr>
          <w:b/>
        </w:rPr>
      </w:pPr>
      <w:r>
        <w:rPr>
          <w:rFonts w:hint="eastAsia"/>
          <w:b/>
        </w:rPr>
        <w:t>3）贮存控制</w:t>
      </w:r>
    </w:p>
    <w:p>
      <w:pPr>
        <w:spacing w:line="360" w:lineRule="auto"/>
        <w:ind w:firstLine="480" w:firstLineChars="200"/>
      </w:pPr>
      <w:r>
        <w:rPr>
          <w:rFonts w:hint="eastAsia"/>
        </w:rPr>
        <w:t>对有贮存期限要求的物品，要明确标识有效期，保证先进先出；仓库应保持安全适宜的贮存环境。所有贮存物品应建立台帐，仓库每月定期盘点，做好账务清理，保持账、物、卡相符；库管员应经常查看库存物品，发现异常及时通知</w:t>
      </w:r>
      <w:r>
        <w:rPr>
          <w:rFonts w:hint="eastAsia" w:ascii="宋体" w:hAnsi="宋体"/>
        </w:rPr>
        <w:t>项目部</w:t>
      </w:r>
      <w:r>
        <w:rPr>
          <w:rFonts w:hint="eastAsia"/>
        </w:rPr>
        <w:t>确认、处理。</w:t>
      </w:r>
    </w:p>
    <w:p>
      <w:pPr>
        <w:spacing w:line="360" w:lineRule="auto"/>
        <w:rPr>
          <w:b/>
        </w:rPr>
      </w:pPr>
      <w:r>
        <w:rPr>
          <w:rFonts w:hint="eastAsia"/>
          <w:b/>
        </w:rPr>
        <w:t>8.5.5交付后的活动</w:t>
      </w:r>
    </w:p>
    <w:p>
      <w:pPr>
        <w:spacing w:line="360" w:lineRule="auto"/>
        <w:ind w:firstLine="480" w:firstLineChars="200"/>
      </w:pPr>
      <w:r>
        <w:t>本公司确保组织交付的产品或服务满足相关要求</w:t>
      </w:r>
      <w:r>
        <w:rPr>
          <w:rFonts w:hint="eastAsia"/>
        </w:rPr>
        <w:t>，</w:t>
      </w:r>
      <w:r>
        <w:t>并认识到交付并不意味着责任的终止</w:t>
      </w:r>
      <w:r>
        <w:rPr>
          <w:rFonts w:hint="eastAsia"/>
        </w:rPr>
        <w:t>。</w:t>
      </w:r>
      <w:r>
        <w:t>交付后活动可以是</w:t>
      </w:r>
      <w:r>
        <w:rPr>
          <w:rFonts w:hint="eastAsia"/>
        </w:rPr>
        <w:t>：</w:t>
      </w:r>
    </w:p>
    <w:p>
      <w:pPr>
        <w:numPr>
          <w:ilvl w:val="0"/>
          <w:numId w:val="13"/>
        </w:numPr>
        <w:spacing w:line="360" w:lineRule="auto"/>
        <w:ind w:left="850" w:hanging="425"/>
      </w:pPr>
      <w:r>
        <w:t>与顾客接触</w:t>
      </w:r>
      <w:r>
        <w:rPr>
          <w:rFonts w:hint="eastAsia"/>
        </w:rPr>
        <w:t>，</w:t>
      </w:r>
      <w:r>
        <w:t>确认他们是否满意产品或服务</w:t>
      </w:r>
      <w:r>
        <w:rPr>
          <w:rFonts w:hint="eastAsia"/>
        </w:rPr>
        <w:t>；</w:t>
      </w:r>
    </w:p>
    <w:p>
      <w:pPr>
        <w:numPr>
          <w:ilvl w:val="0"/>
          <w:numId w:val="13"/>
        </w:numPr>
        <w:spacing w:line="360" w:lineRule="auto"/>
        <w:ind w:left="850" w:hanging="425"/>
      </w:pPr>
      <w:r>
        <w:rPr>
          <w:rFonts w:hint="eastAsia"/>
        </w:rPr>
        <w:t>合同安排，如保修或技术服务；</w:t>
      </w:r>
    </w:p>
    <w:p>
      <w:pPr>
        <w:numPr>
          <w:ilvl w:val="0"/>
          <w:numId w:val="13"/>
        </w:numPr>
        <w:spacing w:line="360" w:lineRule="auto"/>
        <w:ind w:left="850" w:hanging="425"/>
      </w:pPr>
      <w:r>
        <w:rPr>
          <w:rFonts w:hint="eastAsia"/>
        </w:rPr>
        <w:t>顾客查询产品或服务交付相关的在线信息。</w:t>
      </w:r>
    </w:p>
    <w:p>
      <w:pPr>
        <w:spacing w:line="360" w:lineRule="auto"/>
        <w:rPr>
          <w:b/>
        </w:rPr>
      </w:pPr>
      <w:r>
        <w:rPr>
          <w:rFonts w:hint="eastAsia"/>
          <w:b/>
        </w:rPr>
        <w:t>8.5.6更改控制：</w:t>
      </w:r>
    </w:p>
    <w:p>
      <w:pPr>
        <w:spacing w:line="360" w:lineRule="auto"/>
      </w:pPr>
      <w:r>
        <w:rPr>
          <w:rFonts w:hint="eastAsia"/>
        </w:rPr>
        <w:t xml:space="preserve">  组织应对服务和服务提供的更改进行必要的评审和控制，以确保稳定的符合要求。控制变更的活动包括：</w:t>
      </w:r>
    </w:p>
    <w:p>
      <w:pPr>
        <w:numPr>
          <w:ilvl w:val="0"/>
          <w:numId w:val="14"/>
        </w:numPr>
        <w:spacing w:line="360" w:lineRule="auto"/>
      </w:pPr>
      <w:r>
        <w:rPr>
          <w:rFonts w:hint="eastAsia"/>
        </w:rPr>
        <w:t>评审</w:t>
      </w:r>
    </w:p>
    <w:p>
      <w:pPr>
        <w:numPr>
          <w:ilvl w:val="0"/>
          <w:numId w:val="14"/>
        </w:numPr>
        <w:spacing w:line="360" w:lineRule="auto"/>
      </w:pPr>
      <w:r>
        <w:rPr>
          <w:rFonts w:hint="eastAsia"/>
        </w:rPr>
        <w:t>实施前的验证或确认</w:t>
      </w:r>
    </w:p>
    <w:p>
      <w:pPr>
        <w:numPr>
          <w:ilvl w:val="0"/>
          <w:numId w:val="14"/>
        </w:numPr>
        <w:spacing w:line="360" w:lineRule="auto"/>
      </w:pPr>
      <w:r>
        <w:rPr>
          <w:rFonts w:hint="eastAsia"/>
        </w:rPr>
        <w:t>批准（包括顾客授权，适当时）</w:t>
      </w:r>
    </w:p>
    <w:p>
      <w:pPr>
        <w:numPr>
          <w:ilvl w:val="0"/>
          <w:numId w:val="14"/>
        </w:numPr>
        <w:spacing w:line="360" w:lineRule="auto"/>
      </w:pPr>
      <w:r>
        <w:rPr>
          <w:rFonts w:hint="eastAsia"/>
        </w:rPr>
        <w:t>实施措施，包括更新质量管理体系的要素</w:t>
      </w:r>
    </w:p>
    <w:p>
      <w:pPr>
        <w:spacing w:line="360" w:lineRule="auto"/>
        <w:ind w:left="225"/>
      </w:pPr>
      <w:r>
        <w:rPr>
          <w:rFonts w:hint="eastAsia"/>
        </w:rPr>
        <w:t>应保留形成文件的信息，包括有关更改的评审结果，授权进行更改的人员及根据评审所采取的必要措施。</w:t>
      </w:r>
    </w:p>
    <w:p>
      <w:pPr>
        <w:spacing w:line="360" w:lineRule="auto"/>
        <w:ind w:left="225"/>
        <w:rPr>
          <w:b/>
        </w:rPr>
      </w:pPr>
      <w:r>
        <w:rPr>
          <w:rFonts w:hint="eastAsia"/>
          <w:b/>
        </w:rPr>
        <w:t>8.6产品和服务的放行</w:t>
      </w:r>
    </w:p>
    <w:p>
      <w:pPr>
        <w:spacing w:line="360" w:lineRule="auto"/>
        <w:ind w:firstLine="480"/>
      </w:pPr>
      <w:r>
        <w:rPr>
          <w:rFonts w:hint="eastAsia"/>
        </w:rPr>
        <w:t>项目部通过进货检验和试验，过程检验和试验，最终检验和试验，对产品质量进行监视和测量，以验证产品要求已得到满足。公司应保持符合接收准则的证据(主要是记录)，记录应指明有权放行产品以交付给顾客的人员。</w:t>
      </w:r>
    </w:p>
    <w:p>
      <w:pPr>
        <w:spacing w:line="360" w:lineRule="auto"/>
        <w:ind w:firstLine="480" w:firstLineChars="200"/>
      </w:pPr>
      <w:r>
        <w:rPr>
          <w:rFonts w:hint="eastAsia"/>
        </w:rPr>
        <w:t>1）项目部按照检验规程和采购合同的规定对物资的检验或验证，未经检验不得入库或配送给顾客；</w:t>
      </w:r>
    </w:p>
    <w:p>
      <w:pPr>
        <w:spacing w:line="360" w:lineRule="auto"/>
        <w:ind w:firstLine="480" w:firstLineChars="200"/>
      </w:pPr>
      <w:r>
        <w:rPr>
          <w:rFonts w:hint="eastAsia"/>
        </w:rPr>
        <w:t>2）所有产品的监视和测量的记录应予以保持。</w:t>
      </w:r>
    </w:p>
    <w:p>
      <w:pPr>
        <w:spacing w:line="360" w:lineRule="auto"/>
        <w:ind w:firstLine="480" w:firstLineChars="200"/>
      </w:pPr>
      <w:r>
        <w:rPr>
          <w:rFonts w:hint="eastAsia"/>
        </w:rPr>
        <w:t>3）本公司产品，除非得到有关授权人员的批准，适用时得到顾客的批准，否则在策划的安排已圆满完成之前，不应向顾客放行产品和交付服务。</w:t>
      </w:r>
    </w:p>
    <w:p>
      <w:pPr>
        <w:spacing w:line="360" w:lineRule="auto"/>
        <w:rPr>
          <w:b/>
        </w:rPr>
      </w:pPr>
      <w:r>
        <w:rPr>
          <w:rFonts w:hint="eastAsia"/>
          <w:b/>
        </w:rPr>
        <w:t>8.7不合格输出的控制：</w:t>
      </w:r>
    </w:p>
    <w:p>
      <w:pPr>
        <w:spacing w:line="360" w:lineRule="auto"/>
        <w:ind w:firstLine="480" w:firstLineChars="200"/>
      </w:pPr>
      <w:r>
        <w:rPr>
          <w:rFonts w:hint="eastAsia"/>
        </w:rPr>
        <w:t>8.7.1公司制定并执行《不合格和纠正措施控制程序》，由项目部具体组织实施，通过对不合格品的隔离、评审、处置等措施，来控制不合格品，防止不合格品流入下一道工序或被放行，以保证产品质量。</w:t>
      </w:r>
    </w:p>
    <w:p>
      <w:pPr>
        <w:spacing w:line="360" w:lineRule="auto"/>
        <w:ind w:firstLine="480" w:firstLineChars="200"/>
      </w:pPr>
      <w:r>
        <w:rPr>
          <w:rFonts w:hint="eastAsia" w:ascii="宋体" w:hAnsi="宋体"/>
          <w:szCs w:val="24"/>
        </w:rPr>
        <w:t>根据不合格的性质及其对产品的影响采取适当措施。这也适用于在产品交付之后发现的不合格产品。处置不合格品方式有：</w:t>
      </w:r>
    </w:p>
    <w:p>
      <w:pPr>
        <w:numPr>
          <w:ilvl w:val="0"/>
          <w:numId w:val="15"/>
        </w:numPr>
        <w:spacing w:line="360" w:lineRule="auto"/>
        <w:ind w:left="845"/>
        <w:rPr>
          <w:rFonts w:ascii="宋体" w:hAnsi="宋体"/>
          <w:szCs w:val="24"/>
        </w:rPr>
      </w:pPr>
      <w:r>
        <w:rPr>
          <w:rFonts w:hint="eastAsia" w:ascii="宋体" w:hAnsi="宋体"/>
          <w:szCs w:val="24"/>
        </w:rPr>
        <w:t>在检验、作业过程中或其它人员发现不合格品时，应立即加以标识、记录、隔离，需要时移到不合格品区。并实施纠正或纠正措施。</w:t>
      </w:r>
    </w:p>
    <w:p>
      <w:pPr>
        <w:numPr>
          <w:ilvl w:val="0"/>
          <w:numId w:val="15"/>
        </w:numPr>
        <w:spacing w:line="360" w:lineRule="auto"/>
        <w:ind w:left="845"/>
        <w:rPr>
          <w:rFonts w:ascii="宋体" w:hAnsi="宋体"/>
          <w:szCs w:val="24"/>
        </w:rPr>
      </w:pPr>
      <w:r>
        <w:rPr>
          <w:rFonts w:hint="eastAsia" w:ascii="宋体" w:hAnsi="宋体"/>
          <w:szCs w:val="24"/>
        </w:rPr>
        <w:t>对任何提供的不合格品应进行隔离、限制、退货或暂停</w:t>
      </w:r>
      <w:r>
        <w:rPr>
          <w:rFonts w:hint="eastAsia" w:ascii="宋体" w:hAnsi="宋体" w:cs="宋体"/>
          <w:szCs w:val="24"/>
        </w:rPr>
        <w:t>提供产品和服务</w:t>
      </w:r>
      <w:r>
        <w:rPr>
          <w:rFonts w:hint="eastAsia" w:ascii="宋体" w:hAnsi="宋体"/>
          <w:szCs w:val="24"/>
        </w:rPr>
        <w:t>；</w:t>
      </w:r>
    </w:p>
    <w:p>
      <w:pPr>
        <w:numPr>
          <w:ilvl w:val="0"/>
          <w:numId w:val="15"/>
        </w:numPr>
        <w:spacing w:line="360" w:lineRule="auto"/>
        <w:ind w:left="845"/>
        <w:rPr>
          <w:rFonts w:ascii="宋体" w:hAnsi="宋体"/>
          <w:szCs w:val="24"/>
        </w:rPr>
      </w:pPr>
      <w:r>
        <w:rPr>
          <w:rFonts w:hint="eastAsia" w:ascii="宋体" w:hAnsi="宋体"/>
          <w:szCs w:val="24"/>
        </w:rPr>
        <w:t>紧急状况下，接收或放行未满足规定要求的产品时，应获得让步接收、让步放行的授权或获得顾客的同意。</w:t>
      </w:r>
    </w:p>
    <w:p>
      <w:pPr>
        <w:numPr>
          <w:ilvl w:val="0"/>
          <w:numId w:val="15"/>
        </w:numPr>
        <w:spacing w:line="360" w:lineRule="auto"/>
        <w:ind w:left="845"/>
        <w:rPr>
          <w:rFonts w:ascii="宋体" w:hAnsi="宋体"/>
          <w:szCs w:val="24"/>
        </w:rPr>
      </w:pPr>
      <w:r>
        <w:rPr>
          <w:rFonts w:hint="eastAsia" w:ascii="宋体" w:hAnsi="宋体"/>
          <w:szCs w:val="24"/>
        </w:rPr>
        <w:t>不合格品的处理与解决应设定权责单位执行。</w:t>
      </w:r>
    </w:p>
    <w:p>
      <w:pPr>
        <w:numPr>
          <w:ilvl w:val="0"/>
          <w:numId w:val="15"/>
        </w:numPr>
        <w:spacing w:line="360" w:lineRule="auto"/>
        <w:ind w:left="845"/>
        <w:rPr>
          <w:rFonts w:ascii="宋体" w:hAnsi="宋体"/>
          <w:szCs w:val="24"/>
        </w:rPr>
      </w:pPr>
      <w:r>
        <w:rPr>
          <w:rFonts w:hint="eastAsia" w:ascii="宋体" w:hAnsi="宋体"/>
          <w:szCs w:val="24"/>
        </w:rPr>
        <w:t>当不合格品在交货或顾客使用才发现时，应告知顾客，依其影响程度采取适当的处置措施。</w:t>
      </w:r>
    </w:p>
    <w:p>
      <w:pPr>
        <w:numPr>
          <w:ilvl w:val="0"/>
          <w:numId w:val="15"/>
        </w:numPr>
        <w:spacing w:line="360" w:lineRule="auto"/>
        <w:ind w:left="845"/>
        <w:rPr>
          <w:rFonts w:ascii="宋体" w:hAnsi="宋体"/>
          <w:szCs w:val="24"/>
        </w:rPr>
      </w:pPr>
      <w:r>
        <w:rPr>
          <w:rFonts w:hint="eastAsia" w:ascii="宋体" w:hAnsi="宋体"/>
          <w:szCs w:val="24"/>
        </w:rPr>
        <w:t>不合格品的记录，包含问题发现、分析、处置、追踪等，皆须依《文件和记录控制程序》予以适当保存。</w:t>
      </w:r>
    </w:p>
    <w:p>
      <w:pPr>
        <w:spacing w:line="360" w:lineRule="auto"/>
      </w:pPr>
      <w:r>
        <w:rPr>
          <w:rFonts w:hint="eastAsia"/>
        </w:rPr>
        <w:t>8.7.2应保留下列形成文件的信息</w:t>
      </w:r>
    </w:p>
    <w:p>
      <w:pPr>
        <w:tabs>
          <w:tab w:val="left" w:pos="360"/>
        </w:tabs>
        <w:spacing w:line="360" w:lineRule="auto"/>
        <w:ind w:firstLine="240" w:firstLineChars="100"/>
      </w:pPr>
      <w:r>
        <w:rPr>
          <w:rFonts w:hint="eastAsia"/>
        </w:rPr>
        <w:t>a)有关不合格的表述</w:t>
      </w:r>
    </w:p>
    <w:p>
      <w:pPr>
        <w:tabs>
          <w:tab w:val="left" w:pos="360"/>
        </w:tabs>
        <w:spacing w:line="360" w:lineRule="auto"/>
        <w:ind w:firstLine="240" w:firstLineChars="100"/>
      </w:pPr>
      <w:r>
        <w:rPr>
          <w:rFonts w:hint="eastAsia"/>
        </w:rPr>
        <w:t>b)所采取措施的描述</w:t>
      </w:r>
    </w:p>
    <w:p>
      <w:pPr>
        <w:tabs>
          <w:tab w:val="left" w:pos="360"/>
        </w:tabs>
        <w:spacing w:line="360" w:lineRule="auto"/>
        <w:ind w:firstLine="240" w:firstLineChars="100"/>
      </w:pPr>
      <w:r>
        <w:rPr>
          <w:rFonts w:hint="eastAsia"/>
        </w:rPr>
        <w:t>c)获得让步的描述</w:t>
      </w:r>
    </w:p>
    <w:p>
      <w:pPr>
        <w:tabs>
          <w:tab w:val="left" w:pos="360"/>
        </w:tabs>
        <w:spacing w:line="360" w:lineRule="auto"/>
        <w:ind w:firstLine="240" w:firstLineChars="100"/>
      </w:pPr>
      <w:r>
        <w:rPr>
          <w:rFonts w:hint="eastAsia"/>
        </w:rPr>
        <w:t>d)处置不合格的授权标识</w:t>
      </w:r>
    </w:p>
    <w:p>
      <w:pPr>
        <w:tabs>
          <w:tab w:val="left" w:pos="360"/>
        </w:tabs>
        <w:spacing w:line="360" w:lineRule="auto"/>
        <w:rPr>
          <w:b/>
        </w:rPr>
      </w:pPr>
      <w:r>
        <w:rPr>
          <w:rFonts w:hint="eastAsia"/>
          <w:b/>
        </w:rPr>
        <w:t>9绩效评价</w:t>
      </w:r>
    </w:p>
    <w:p>
      <w:pPr>
        <w:tabs>
          <w:tab w:val="left" w:pos="360"/>
        </w:tabs>
        <w:spacing w:line="360" w:lineRule="auto"/>
        <w:rPr>
          <w:b/>
        </w:rPr>
      </w:pPr>
      <w:r>
        <w:rPr>
          <w:rFonts w:hint="eastAsia"/>
          <w:b/>
        </w:rPr>
        <w:t>9.1.监视、测量、分析和评价</w:t>
      </w:r>
    </w:p>
    <w:p>
      <w:pPr>
        <w:tabs>
          <w:tab w:val="left" w:pos="360"/>
        </w:tabs>
        <w:spacing w:line="360" w:lineRule="auto"/>
        <w:rPr>
          <w:b/>
        </w:rPr>
      </w:pPr>
      <w:r>
        <w:rPr>
          <w:rFonts w:hint="eastAsia"/>
          <w:b/>
        </w:rPr>
        <w:t>9.1.1总则</w:t>
      </w:r>
    </w:p>
    <w:p>
      <w:pPr>
        <w:spacing w:line="360" w:lineRule="auto"/>
        <w:ind w:firstLine="480" w:firstLineChars="200"/>
      </w:pPr>
      <w:r>
        <w:t>为确保质量管理体系过程的绩效和有效性，</w:t>
      </w:r>
      <w:r>
        <w:rPr>
          <w:rFonts w:hint="eastAsia"/>
        </w:rPr>
        <w:t>应</w:t>
      </w:r>
      <w:r>
        <w:t>确定</w:t>
      </w:r>
      <w:r>
        <w:rPr>
          <w:rFonts w:hint="eastAsia"/>
        </w:rPr>
        <w:t>：</w:t>
      </w:r>
    </w:p>
    <w:p>
      <w:pPr>
        <w:numPr>
          <w:ilvl w:val="0"/>
          <w:numId w:val="16"/>
        </w:numPr>
        <w:spacing w:line="360" w:lineRule="auto"/>
      </w:pPr>
      <w:r>
        <w:rPr>
          <w:rFonts w:hint="eastAsia"/>
        </w:rPr>
        <w:t>需要监视和测量的对象</w:t>
      </w:r>
    </w:p>
    <w:p>
      <w:pPr>
        <w:numPr>
          <w:ilvl w:val="0"/>
          <w:numId w:val="16"/>
        </w:numPr>
        <w:spacing w:line="360" w:lineRule="auto"/>
      </w:pPr>
      <w:r>
        <w:rPr>
          <w:rFonts w:hint="eastAsia"/>
        </w:rPr>
        <w:t>确保有效结果所需的监视、测量、分析和评价方法；</w:t>
      </w:r>
    </w:p>
    <w:p>
      <w:pPr>
        <w:numPr>
          <w:ilvl w:val="0"/>
          <w:numId w:val="16"/>
        </w:numPr>
        <w:spacing w:line="360" w:lineRule="auto"/>
      </w:pPr>
      <w:r>
        <w:rPr>
          <w:rFonts w:hint="eastAsia"/>
        </w:rPr>
        <w:t>实施监视和测量的时机；</w:t>
      </w:r>
    </w:p>
    <w:p>
      <w:pPr>
        <w:numPr>
          <w:ilvl w:val="0"/>
          <w:numId w:val="16"/>
        </w:numPr>
        <w:spacing w:line="360" w:lineRule="auto"/>
      </w:pPr>
      <w:r>
        <w:rPr>
          <w:rFonts w:hint="eastAsia"/>
        </w:rPr>
        <w:t>分析和评价监视和测量结果的时机。</w:t>
      </w:r>
    </w:p>
    <w:p>
      <w:pPr>
        <w:spacing w:line="360" w:lineRule="auto"/>
      </w:pPr>
      <w:r>
        <w:rPr>
          <w:rFonts w:hint="eastAsia"/>
        </w:rPr>
        <w:t xml:space="preserve">  保留适当的形成文件的信息，作为结果的证据。</w:t>
      </w:r>
    </w:p>
    <w:p>
      <w:pPr>
        <w:tabs>
          <w:tab w:val="left" w:pos="360"/>
        </w:tabs>
        <w:spacing w:line="360" w:lineRule="auto"/>
      </w:pPr>
      <w:r>
        <w:rPr>
          <w:rFonts w:hint="eastAsia"/>
          <w:b/>
        </w:rPr>
        <w:t>9.1.2顾客满意</w:t>
      </w:r>
      <w:r>
        <w:rPr>
          <w:rFonts w:hint="eastAsia"/>
        </w:rPr>
        <w:t>：</w:t>
      </w:r>
    </w:p>
    <w:p>
      <w:pPr>
        <w:spacing w:line="360" w:lineRule="auto"/>
        <w:ind w:firstLine="480"/>
      </w:pPr>
      <w:r>
        <w:t>顾客满意是本公司质量管理体系业绩的主要指标，公司制定《顾客满意</w:t>
      </w:r>
      <w:r>
        <w:rPr>
          <w:rFonts w:hint="eastAsia"/>
        </w:rPr>
        <w:t>度测量</w:t>
      </w:r>
      <w:r>
        <w:t>控制程序》定期对顾客进行抽样调查，并使用统计技术来评定顾客满意度。</w:t>
      </w:r>
      <w:r>
        <w:rPr>
          <w:bCs/>
          <w:szCs w:val="21"/>
          <w:lang w:val="zh-CN"/>
        </w:rPr>
        <w:t>本公司应建立一个形成文件的反馈系统程序</w:t>
      </w:r>
      <w:r>
        <w:rPr>
          <w:rFonts w:hint="eastAsia"/>
          <w:bCs/>
          <w:szCs w:val="21"/>
          <w:lang w:val="zh-CN"/>
        </w:rPr>
        <w:t>，</w:t>
      </w:r>
      <w:r>
        <w:rPr>
          <w:bCs/>
          <w:szCs w:val="21"/>
          <w:lang w:val="zh-CN"/>
        </w:rPr>
        <w:t>以提供质量问题的早期报警</w:t>
      </w:r>
      <w:r>
        <w:rPr>
          <w:rFonts w:hint="eastAsia"/>
          <w:bCs/>
          <w:szCs w:val="21"/>
          <w:lang w:val="zh-CN"/>
        </w:rPr>
        <w:t>。</w:t>
      </w:r>
    </w:p>
    <w:p>
      <w:pPr>
        <w:spacing w:line="360" w:lineRule="auto"/>
        <w:rPr>
          <w:b/>
          <w:bCs/>
          <w:szCs w:val="21"/>
          <w:lang w:val="zh-CN"/>
        </w:rPr>
      </w:pPr>
      <w:r>
        <w:rPr>
          <w:rFonts w:hint="eastAsia"/>
          <w:b/>
          <w:bCs/>
          <w:szCs w:val="21"/>
          <w:lang w:val="zh-CN"/>
        </w:rPr>
        <w:t>9.1.3分析与评价：</w:t>
      </w:r>
    </w:p>
    <w:p>
      <w:pPr>
        <w:spacing w:line="360" w:lineRule="auto"/>
        <w:ind w:firstLine="480"/>
      </w:pPr>
      <w:r>
        <w:t>按照对服务质量观察分析，掌握和判断服务质量状态，对质量活动中不合格事项归纳分析，提供制定质量改进的信息，以保证质量方针和质量目标的落实。</w:t>
      </w:r>
    </w:p>
    <w:p>
      <w:pPr>
        <w:spacing w:line="360" w:lineRule="auto"/>
        <w:ind w:firstLine="480"/>
      </w:pPr>
      <w:r>
        <w:rPr>
          <w:rFonts w:hint="eastAsia"/>
        </w:rPr>
        <w:t>应</w:t>
      </w:r>
      <w:r>
        <w:t>利用分析结果评价：</w:t>
      </w:r>
    </w:p>
    <w:p>
      <w:pPr>
        <w:numPr>
          <w:ilvl w:val="0"/>
          <w:numId w:val="17"/>
        </w:numPr>
        <w:spacing w:line="360" w:lineRule="auto"/>
      </w:pPr>
      <w:r>
        <w:t>产品和服务的符合性；</w:t>
      </w:r>
    </w:p>
    <w:p>
      <w:pPr>
        <w:numPr>
          <w:ilvl w:val="0"/>
          <w:numId w:val="17"/>
        </w:numPr>
        <w:spacing w:line="360" w:lineRule="auto"/>
      </w:pPr>
      <w:r>
        <w:rPr>
          <w:rFonts w:hint="eastAsia"/>
        </w:rPr>
        <w:t>顾客满意程度</w:t>
      </w:r>
    </w:p>
    <w:p>
      <w:pPr>
        <w:numPr>
          <w:ilvl w:val="0"/>
          <w:numId w:val="17"/>
        </w:numPr>
        <w:spacing w:line="360" w:lineRule="auto"/>
      </w:pPr>
      <w:r>
        <w:rPr>
          <w:rFonts w:hint="eastAsia"/>
        </w:rPr>
        <w:t>质量管理体系的绩效和有效性</w:t>
      </w:r>
    </w:p>
    <w:p>
      <w:pPr>
        <w:numPr>
          <w:ilvl w:val="0"/>
          <w:numId w:val="17"/>
        </w:numPr>
        <w:spacing w:line="360" w:lineRule="auto"/>
      </w:pPr>
      <w:r>
        <w:rPr>
          <w:rFonts w:hint="eastAsia"/>
        </w:rPr>
        <w:t>策划是否得到有效实施</w:t>
      </w:r>
    </w:p>
    <w:p>
      <w:pPr>
        <w:numPr>
          <w:ilvl w:val="0"/>
          <w:numId w:val="17"/>
        </w:numPr>
        <w:spacing w:line="360" w:lineRule="auto"/>
      </w:pPr>
      <w:r>
        <w:rPr>
          <w:rFonts w:hint="eastAsia"/>
        </w:rPr>
        <w:t>针对风险和机遇所采取措施的有效性</w:t>
      </w:r>
    </w:p>
    <w:p>
      <w:pPr>
        <w:numPr>
          <w:ilvl w:val="0"/>
          <w:numId w:val="17"/>
        </w:numPr>
        <w:spacing w:line="360" w:lineRule="auto"/>
      </w:pPr>
      <w:r>
        <w:rPr>
          <w:rFonts w:hint="eastAsia"/>
        </w:rPr>
        <w:t>外部供方的绩效</w:t>
      </w:r>
    </w:p>
    <w:p>
      <w:pPr>
        <w:numPr>
          <w:ilvl w:val="0"/>
          <w:numId w:val="17"/>
        </w:numPr>
        <w:spacing w:line="360" w:lineRule="auto"/>
      </w:pPr>
      <w:r>
        <w:rPr>
          <w:rFonts w:hint="eastAsia"/>
        </w:rPr>
        <w:t>质量管理体系改进的要求。</w:t>
      </w:r>
    </w:p>
    <w:p>
      <w:pPr>
        <w:spacing w:line="360" w:lineRule="auto"/>
        <w:rPr>
          <w:b/>
        </w:rPr>
      </w:pPr>
      <w:r>
        <w:rPr>
          <w:rFonts w:hint="eastAsia"/>
          <w:b/>
        </w:rPr>
        <w:t>9.2内部审核</w:t>
      </w:r>
    </w:p>
    <w:p>
      <w:pPr>
        <w:spacing w:line="360" w:lineRule="auto"/>
        <w:ind w:left="1"/>
        <w:rPr>
          <w:rFonts w:ascii="宋体" w:hAnsi="宋体"/>
          <w:szCs w:val="24"/>
        </w:rPr>
      </w:pPr>
      <w:r>
        <w:rPr>
          <w:rFonts w:hint="eastAsia" w:ascii="宋体" w:hAnsi="宋体"/>
          <w:szCs w:val="24"/>
        </w:rPr>
        <w:t>9.2.1</w:t>
      </w:r>
      <w:r>
        <w:rPr>
          <w:rFonts w:hint="eastAsia" w:ascii="宋体" w:hAnsi="宋体"/>
          <w:bCs/>
          <w:szCs w:val="24"/>
        </w:rPr>
        <w:t>办公室</w:t>
      </w:r>
      <w:r>
        <w:rPr>
          <w:rFonts w:hint="eastAsia" w:ascii="宋体" w:hAnsi="宋体"/>
          <w:szCs w:val="24"/>
        </w:rPr>
        <w:t>应组织制定《内部审核控制程序》，按照每年一次进行内部审核（时间间隔不超过1</w:t>
      </w:r>
      <w:r>
        <w:rPr>
          <w:rFonts w:ascii="宋体" w:hAnsi="宋体"/>
          <w:szCs w:val="24"/>
        </w:rPr>
        <w:t>2个月</w:t>
      </w:r>
      <w:r>
        <w:rPr>
          <w:rFonts w:hint="eastAsia" w:ascii="宋体" w:hAnsi="宋体"/>
          <w:szCs w:val="24"/>
        </w:rPr>
        <w:t>），以提供有关质量管理体系的下列信息：</w:t>
      </w:r>
    </w:p>
    <w:p>
      <w:pPr>
        <w:spacing w:line="360" w:lineRule="auto"/>
        <w:ind w:left="1"/>
        <w:rPr>
          <w:rFonts w:ascii="宋体" w:hAnsi="宋体"/>
          <w:szCs w:val="24"/>
        </w:rPr>
      </w:pPr>
      <w:r>
        <w:rPr>
          <w:rFonts w:hint="eastAsia" w:ascii="宋体" w:hAnsi="宋体"/>
          <w:szCs w:val="24"/>
        </w:rPr>
        <w:t xml:space="preserve">     a)是否符合ISO9001标准的要求和公司自身建立的质量管理体系要求；</w:t>
      </w:r>
    </w:p>
    <w:p>
      <w:pPr>
        <w:spacing w:line="360" w:lineRule="auto"/>
        <w:ind w:left="1"/>
        <w:rPr>
          <w:rFonts w:ascii="宋体" w:hAnsi="宋体"/>
          <w:szCs w:val="24"/>
        </w:rPr>
      </w:pPr>
      <w:r>
        <w:rPr>
          <w:rFonts w:hint="eastAsia" w:ascii="宋体" w:hAnsi="宋体"/>
          <w:szCs w:val="24"/>
        </w:rPr>
        <w:t xml:space="preserve">     b)质量管理体系是否得到有效的实施和保持。</w:t>
      </w:r>
    </w:p>
    <w:p>
      <w:pPr>
        <w:spacing w:line="360" w:lineRule="auto"/>
        <w:ind w:left="1"/>
        <w:rPr>
          <w:rFonts w:ascii="宋体" w:hAnsi="宋体"/>
          <w:szCs w:val="24"/>
        </w:rPr>
      </w:pPr>
      <w:r>
        <w:rPr>
          <w:rFonts w:hint="eastAsia" w:ascii="宋体" w:hAnsi="宋体"/>
          <w:szCs w:val="24"/>
        </w:rPr>
        <w:t xml:space="preserve">  9.2.2 </w:t>
      </w:r>
      <w:r>
        <w:rPr>
          <w:rFonts w:hint="eastAsia" w:ascii="宋体" w:hAnsi="宋体"/>
          <w:bCs/>
          <w:szCs w:val="24"/>
        </w:rPr>
        <w:t>办公室</w:t>
      </w:r>
      <w:r>
        <w:rPr>
          <w:rFonts w:hint="eastAsia" w:ascii="宋体" w:hAnsi="宋体"/>
          <w:szCs w:val="24"/>
        </w:rPr>
        <w:t>在组织实施内部审核时应确保以下要求：</w:t>
      </w:r>
    </w:p>
    <w:p>
      <w:pPr>
        <w:numPr>
          <w:ilvl w:val="2"/>
          <w:numId w:val="18"/>
        </w:numPr>
        <w:adjustRightInd/>
        <w:spacing w:line="360" w:lineRule="auto"/>
        <w:ind w:left="648" w:leftChars="270"/>
        <w:textAlignment w:val="auto"/>
        <w:rPr>
          <w:rFonts w:ascii="宋体" w:hAnsi="宋体" w:cs="宋体"/>
          <w:szCs w:val="24"/>
        </w:rPr>
      </w:pPr>
      <w:r>
        <w:rPr>
          <w:rFonts w:hint="eastAsia" w:ascii="宋体" w:hAnsi="宋体" w:cs="宋体"/>
          <w:szCs w:val="24"/>
        </w:rPr>
        <w:t>依据有关过程的重要性、对公司产生影响的变化和以往的审核结果，策划、制定、实施和保持审核方案，审核方案包括频次、方法、职责、策划要求和报告；</w:t>
      </w:r>
    </w:p>
    <w:p>
      <w:pPr>
        <w:spacing w:line="360" w:lineRule="auto"/>
        <w:ind w:left="648" w:leftChars="270"/>
        <w:rPr>
          <w:rFonts w:ascii="宋体" w:hAnsi="宋体" w:cs="宋体"/>
          <w:szCs w:val="24"/>
        </w:rPr>
      </w:pPr>
      <w:r>
        <w:rPr>
          <w:rFonts w:hint="eastAsia" w:ascii="宋体" w:hAnsi="宋体" w:cs="宋体"/>
          <w:szCs w:val="24"/>
        </w:rPr>
        <w:t>b) 确定每次审核的准则和范围；</w:t>
      </w:r>
    </w:p>
    <w:p>
      <w:pPr>
        <w:spacing w:line="360" w:lineRule="auto"/>
        <w:ind w:left="648" w:leftChars="270"/>
        <w:rPr>
          <w:rFonts w:ascii="宋体" w:hAnsi="宋体" w:cs="宋体"/>
          <w:szCs w:val="24"/>
        </w:rPr>
      </w:pPr>
      <w:r>
        <w:rPr>
          <w:rFonts w:hint="eastAsia" w:ascii="宋体" w:hAnsi="宋体" w:cs="宋体"/>
          <w:szCs w:val="24"/>
        </w:rPr>
        <w:t>c) 选择可确保审核过程客观公正的审核员实施审核；</w:t>
      </w:r>
    </w:p>
    <w:p>
      <w:pPr>
        <w:spacing w:line="360" w:lineRule="auto"/>
        <w:ind w:left="648" w:leftChars="270"/>
        <w:rPr>
          <w:rFonts w:ascii="宋体" w:hAnsi="宋体" w:cs="宋体"/>
          <w:szCs w:val="24"/>
        </w:rPr>
      </w:pPr>
      <w:r>
        <w:rPr>
          <w:rFonts w:hint="eastAsia" w:ascii="宋体" w:hAnsi="宋体" w:cs="宋体"/>
          <w:szCs w:val="24"/>
        </w:rPr>
        <w:t>d) 确保相关办公室门获得审核结果报告；</w:t>
      </w:r>
    </w:p>
    <w:p>
      <w:pPr>
        <w:spacing w:line="360" w:lineRule="auto"/>
        <w:ind w:left="648" w:leftChars="270"/>
        <w:rPr>
          <w:rFonts w:ascii="宋体" w:hAnsi="宋体" w:cs="宋体"/>
          <w:szCs w:val="24"/>
        </w:rPr>
      </w:pPr>
      <w:r>
        <w:rPr>
          <w:rFonts w:hint="eastAsia" w:ascii="宋体" w:hAnsi="宋体" w:cs="宋体"/>
          <w:szCs w:val="24"/>
        </w:rPr>
        <w:t>e) 及时采取适当的纠正和纠正措施；</w:t>
      </w:r>
    </w:p>
    <w:p>
      <w:pPr>
        <w:spacing w:line="360" w:lineRule="auto"/>
        <w:ind w:left="648" w:leftChars="270"/>
        <w:rPr>
          <w:rFonts w:ascii="宋体" w:hAnsi="宋体" w:cs="宋体"/>
          <w:szCs w:val="24"/>
        </w:rPr>
      </w:pPr>
      <w:r>
        <w:rPr>
          <w:rFonts w:hint="eastAsia" w:ascii="宋体" w:hAnsi="宋体" w:cs="宋体"/>
          <w:szCs w:val="24"/>
        </w:rPr>
        <w:t>e) 所采取的应对风险和机遇的措施的有效性；</w:t>
      </w:r>
    </w:p>
    <w:p>
      <w:pPr>
        <w:spacing w:line="360" w:lineRule="auto"/>
        <w:ind w:left="648" w:leftChars="270"/>
        <w:rPr>
          <w:rFonts w:ascii="宋体" w:hAnsi="宋体" w:cs="宋体"/>
          <w:szCs w:val="24"/>
        </w:rPr>
      </w:pPr>
      <w:r>
        <w:rPr>
          <w:rFonts w:hint="eastAsia" w:ascii="宋体" w:hAnsi="宋体" w:cs="宋体"/>
          <w:szCs w:val="24"/>
        </w:rPr>
        <w:t>f) 保留作为实施方案以及审核结果的证据的成文信息；</w:t>
      </w:r>
    </w:p>
    <w:p>
      <w:pPr>
        <w:tabs>
          <w:tab w:val="left" w:pos="900"/>
        </w:tabs>
        <w:spacing w:line="360" w:lineRule="auto"/>
      </w:pPr>
      <w:r>
        <w:rPr>
          <w:rFonts w:hint="eastAsia" w:ascii="宋体" w:hAnsi="宋体"/>
          <w:szCs w:val="24"/>
        </w:rPr>
        <w:t xml:space="preserve">     g)审核报告及纠正措施实施结果，应呈报管理评审检讨。</w:t>
      </w:r>
    </w:p>
    <w:p>
      <w:pPr>
        <w:tabs>
          <w:tab w:val="left" w:pos="900"/>
        </w:tabs>
        <w:spacing w:line="360" w:lineRule="auto"/>
        <w:rPr>
          <w:b/>
        </w:rPr>
      </w:pPr>
      <w:r>
        <w:rPr>
          <w:rFonts w:hint="eastAsia"/>
          <w:b/>
        </w:rPr>
        <w:t>9.3管理评审：</w:t>
      </w:r>
    </w:p>
    <w:p>
      <w:pPr>
        <w:tabs>
          <w:tab w:val="left" w:pos="900"/>
        </w:tabs>
        <w:spacing w:line="360" w:lineRule="auto"/>
        <w:rPr>
          <w:b/>
        </w:rPr>
      </w:pPr>
      <w:r>
        <w:rPr>
          <w:rFonts w:hint="eastAsia"/>
          <w:b/>
        </w:rPr>
        <w:t>9.3.1总则</w:t>
      </w:r>
    </w:p>
    <w:p>
      <w:pPr>
        <w:spacing w:line="360" w:lineRule="auto"/>
        <w:ind w:firstLine="420"/>
      </w:pPr>
      <w:r>
        <w:rPr>
          <w:rFonts w:hint="eastAsia" w:ascii="宋体" w:hAnsi="宋体"/>
          <w:szCs w:val="24"/>
        </w:rPr>
        <w:t>总经理组织制定公司《管理评审控制程序》，并按照策划的时间间隔对组织的质量管理体系进行评审，以确保其持续的保持适宜性、充分性和有效性，并与组织的战略方向一致</w:t>
      </w:r>
      <w:r>
        <w:t>。</w:t>
      </w:r>
    </w:p>
    <w:p>
      <w:pPr>
        <w:tabs>
          <w:tab w:val="left" w:pos="900"/>
        </w:tabs>
        <w:spacing w:line="360" w:lineRule="auto"/>
        <w:rPr>
          <w:b/>
        </w:rPr>
      </w:pPr>
      <w:r>
        <w:rPr>
          <w:rFonts w:hint="eastAsia"/>
          <w:b/>
        </w:rPr>
        <w:t>9.3.2管理评审的输入：</w:t>
      </w:r>
    </w:p>
    <w:p>
      <w:pPr>
        <w:spacing w:line="360" w:lineRule="auto"/>
        <w:ind w:firstLine="480" w:firstLineChars="200"/>
      </w:pPr>
      <w:r>
        <w:t>管理评审的输入，要求各部门负责人准备质量管理活动开展情况的资料，内容包括：</w:t>
      </w:r>
    </w:p>
    <w:p>
      <w:pPr>
        <w:numPr>
          <w:ilvl w:val="0"/>
          <w:numId w:val="19"/>
        </w:numPr>
        <w:spacing w:line="360" w:lineRule="auto"/>
      </w:pPr>
      <w:r>
        <w:t>以往管理评审所采取措施的实施情况</w:t>
      </w:r>
      <w:r>
        <w:rPr>
          <w:rFonts w:hint="eastAsia"/>
        </w:rPr>
        <w:t>；</w:t>
      </w:r>
    </w:p>
    <w:p>
      <w:pPr>
        <w:numPr>
          <w:ilvl w:val="0"/>
          <w:numId w:val="19"/>
        </w:numPr>
        <w:spacing w:line="360" w:lineRule="auto"/>
      </w:pPr>
      <w:r>
        <w:rPr>
          <w:rFonts w:hint="eastAsia"/>
        </w:rPr>
        <w:t>与质量管理体系相关的内外部环境因素的变化；</w:t>
      </w:r>
    </w:p>
    <w:p>
      <w:pPr>
        <w:numPr>
          <w:ilvl w:val="0"/>
          <w:numId w:val="19"/>
        </w:numPr>
        <w:spacing w:line="360" w:lineRule="auto"/>
      </w:pPr>
      <w:r>
        <w:rPr>
          <w:rFonts w:hint="eastAsia"/>
        </w:rPr>
        <w:t>有关质量管理体系绩效和有效性的信息，包括下列趋势性信息：</w:t>
      </w:r>
    </w:p>
    <w:p>
      <w:pPr>
        <w:numPr>
          <w:ilvl w:val="0"/>
          <w:numId w:val="20"/>
        </w:numPr>
        <w:spacing w:line="360" w:lineRule="auto"/>
      </w:pPr>
      <w:r>
        <w:rPr>
          <w:rFonts w:hint="eastAsia"/>
        </w:rPr>
        <w:t>顾客满意的实现程度</w:t>
      </w:r>
    </w:p>
    <w:p>
      <w:pPr>
        <w:numPr>
          <w:ilvl w:val="0"/>
          <w:numId w:val="20"/>
        </w:numPr>
        <w:spacing w:line="360" w:lineRule="auto"/>
      </w:pPr>
      <w:r>
        <w:rPr>
          <w:rFonts w:hint="eastAsia"/>
        </w:rPr>
        <w:t>质量目标的实现程度</w:t>
      </w:r>
    </w:p>
    <w:p>
      <w:pPr>
        <w:numPr>
          <w:ilvl w:val="0"/>
          <w:numId w:val="20"/>
        </w:numPr>
        <w:spacing w:line="360" w:lineRule="auto"/>
      </w:pPr>
      <w:r>
        <w:rPr>
          <w:rFonts w:hint="eastAsia"/>
        </w:rPr>
        <w:t>过程绩效以及产品和服务的符合性</w:t>
      </w:r>
    </w:p>
    <w:p>
      <w:pPr>
        <w:numPr>
          <w:ilvl w:val="0"/>
          <w:numId w:val="20"/>
        </w:numPr>
        <w:spacing w:line="360" w:lineRule="auto"/>
      </w:pPr>
      <w:r>
        <w:rPr>
          <w:rFonts w:hint="eastAsia"/>
        </w:rPr>
        <w:t>不合格以及纠正措施</w:t>
      </w:r>
    </w:p>
    <w:p>
      <w:pPr>
        <w:numPr>
          <w:ilvl w:val="0"/>
          <w:numId w:val="20"/>
        </w:numPr>
        <w:spacing w:line="360" w:lineRule="auto"/>
      </w:pPr>
      <w:r>
        <w:rPr>
          <w:rFonts w:hint="eastAsia"/>
        </w:rPr>
        <w:t>监视和测量结果</w:t>
      </w:r>
    </w:p>
    <w:p>
      <w:pPr>
        <w:numPr>
          <w:ilvl w:val="0"/>
          <w:numId w:val="20"/>
        </w:numPr>
        <w:spacing w:line="360" w:lineRule="auto"/>
      </w:pPr>
      <w:r>
        <w:rPr>
          <w:rFonts w:hint="eastAsia"/>
        </w:rPr>
        <w:t>审核结果</w:t>
      </w:r>
    </w:p>
    <w:p>
      <w:pPr>
        <w:numPr>
          <w:ilvl w:val="0"/>
          <w:numId w:val="20"/>
        </w:numPr>
        <w:spacing w:line="360" w:lineRule="auto"/>
      </w:pPr>
      <w:r>
        <w:rPr>
          <w:rFonts w:hint="eastAsia"/>
        </w:rPr>
        <w:t>外部供方的绩效</w:t>
      </w:r>
    </w:p>
    <w:p>
      <w:pPr>
        <w:numPr>
          <w:ilvl w:val="0"/>
          <w:numId w:val="19"/>
        </w:numPr>
        <w:spacing w:line="360" w:lineRule="auto"/>
      </w:pPr>
      <w:r>
        <w:rPr>
          <w:rFonts w:hint="eastAsia"/>
        </w:rPr>
        <w:t>资源的充分性</w:t>
      </w:r>
    </w:p>
    <w:p>
      <w:pPr>
        <w:numPr>
          <w:ilvl w:val="0"/>
          <w:numId w:val="19"/>
        </w:numPr>
        <w:spacing w:line="360" w:lineRule="auto"/>
      </w:pPr>
      <w:r>
        <w:rPr>
          <w:rFonts w:hint="eastAsia"/>
        </w:rPr>
        <w:t>应对风险和机遇所采取措施的有效性</w:t>
      </w:r>
    </w:p>
    <w:p>
      <w:pPr>
        <w:numPr>
          <w:ilvl w:val="0"/>
          <w:numId w:val="19"/>
        </w:numPr>
        <w:spacing w:line="360" w:lineRule="auto"/>
      </w:pPr>
      <w:r>
        <w:rPr>
          <w:rFonts w:hint="eastAsia"/>
        </w:rPr>
        <w:t>改进的机会</w:t>
      </w:r>
    </w:p>
    <w:p>
      <w:pPr>
        <w:spacing w:line="360" w:lineRule="auto"/>
        <w:rPr>
          <w:b/>
        </w:rPr>
      </w:pPr>
      <w:r>
        <w:rPr>
          <w:rFonts w:hint="eastAsia"/>
          <w:b/>
        </w:rPr>
        <w:t>9.3.3管理评审输出：</w:t>
      </w:r>
    </w:p>
    <w:p>
      <w:pPr>
        <w:tabs>
          <w:tab w:val="left" w:pos="900"/>
        </w:tabs>
        <w:spacing w:line="360" w:lineRule="auto"/>
      </w:pPr>
      <w:r>
        <w:rPr>
          <w:rFonts w:hint="eastAsia"/>
        </w:rPr>
        <w:t>管理评审的输出应包括与下列事项相关的决定和措施：</w:t>
      </w:r>
    </w:p>
    <w:p>
      <w:pPr>
        <w:numPr>
          <w:ilvl w:val="0"/>
          <w:numId w:val="21"/>
        </w:numPr>
        <w:tabs>
          <w:tab w:val="left" w:pos="900"/>
        </w:tabs>
        <w:spacing w:line="360" w:lineRule="auto"/>
      </w:pPr>
      <w:r>
        <w:t>改进的机会</w:t>
      </w:r>
      <w:r>
        <w:rPr>
          <w:rFonts w:hint="eastAsia"/>
        </w:rPr>
        <w:t>；</w:t>
      </w:r>
    </w:p>
    <w:p>
      <w:pPr>
        <w:numPr>
          <w:ilvl w:val="0"/>
          <w:numId w:val="21"/>
        </w:numPr>
        <w:tabs>
          <w:tab w:val="left" w:pos="900"/>
        </w:tabs>
        <w:spacing w:line="360" w:lineRule="auto"/>
      </w:pPr>
      <w:r>
        <w:rPr>
          <w:rFonts w:hint="eastAsia"/>
        </w:rPr>
        <w:t>质量管理体系所需的变更；</w:t>
      </w:r>
    </w:p>
    <w:p>
      <w:pPr>
        <w:numPr>
          <w:ilvl w:val="0"/>
          <w:numId w:val="21"/>
        </w:numPr>
        <w:tabs>
          <w:tab w:val="left" w:pos="900"/>
        </w:tabs>
        <w:spacing w:line="360" w:lineRule="auto"/>
      </w:pPr>
      <w:r>
        <w:rPr>
          <w:rFonts w:hint="eastAsia"/>
        </w:rPr>
        <w:t>资源需求。</w:t>
      </w:r>
    </w:p>
    <w:p>
      <w:pPr>
        <w:tabs>
          <w:tab w:val="left" w:pos="900"/>
        </w:tabs>
        <w:spacing w:line="360" w:lineRule="auto"/>
        <w:ind w:left="585"/>
      </w:pPr>
      <w:r>
        <w:rPr>
          <w:rFonts w:hint="eastAsia"/>
        </w:rPr>
        <w:t>应保留作为管理评审结果证据的形成文件的信息。</w:t>
      </w:r>
    </w:p>
    <w:p>
      <w:pPr>
        <w:tabs>
          <w:tab w:val="left" w:pos="900"/>
        </w:tabs>
        <w:spacing w:line="360" w:lineRule="auto"/>
        <w:rPr>
          <w:b/>
        </w:rPr>
      </w:pPr>
      <w:r>
        <w:rPr>
          <w:rFonts w:hint="eastAsia"/>
          <w:b/>
        </w:rPr>
        <w:t>10改进：</w:t>
      </w:r>
    </w:p>
    <w:p>
      <w:pPr>
        <w:tabs>
          <w:tab w:val="left" w:pos="900"/>
        </w:tabs>
        <w:spacing w:line="360" w:lineRule="auto"/>
        <w:rPr>
          <w:b/>
        </w:rPr>
      </w:pPr>
      <w:r>
        <w:rPr>
          <w:rFonts w:hint="eastAsia"/>
          <w:b/>
        </w:rPr>
        <w:t>10.1总则：</w:t>
      </w:r>
    </w:p>
    <w:p>
      <w:pPr>
        <w:spacing w:line="360" w:lineRule="auto"/>
        <w:ind w:firstLine="480"/>
      </w:pPr>
      <w:r>
        <w:t>通过对本公司的质量方针、质量目标的考核，以及对审核结果、汇总数据的分析，同时，运用纠正和预防措施以及管理评审等手段和方法，确保本公司质量管理体系持续改进的有效性。</w:t>
      </w:r>
    </w:p>
    <w:p>
      <w:pPr>
        <w:autoSpaceDE w:val="0"/>
        <w:autoSpaceDN w:val="0"/>
        <w:spacing w:line="360" w:lineRule="auto"/>
        <w:rPr>
          <w:bCs/>
          <w:szCs w:val="21"/>
          <w:lang w:val="zh-CN"/>
        </w:rPr>
      </w:pPr>
      <w:r>
        <w:rPr>
          <w:bCs/>
          <w:szCs w:val="21"/>
          <w:lang w:val="zh-CN"/>
        </w:rPr>
        <w:t>本公司应保持所有顾客抱怨调查的记录。当顾客抱怨的调查确定是在组织之外开展的活动导致了顾客的抱怨，则相关资料应在所涉及的组织之间传递。</w:t>
      </w:r>
    </w:p>
    <w:p>
      <w:pPr>
        <w:autoSpaceDE w:val="0"/>
        <w:autoSpaceDN w:val="0"/>
        <w:spacing w:line="360" w:lineRule="auto"/>
        <w:rPr>
          <w:bCs/>
          <w:szCs w:val="21"/>
          <w:lang w:val="zh-CN"/>
        </w:rPr>
      </w:pPr>
      <w:r>
        <w:rPr>
          <w:bCs/>
          <w:szCs w:val="21"/>
          <w:lang w:val="zh-CN"/>
        </w:rPr>
        <w:t>当任何顾客抱怨没有采取预防和</w:t>
      </w:r>
      <w:r>
        <w:rPr>
          <w:bCs/>
          <w:szCs w:val="21"/>
        </w:rPr>
        <w:t>/</w:t>
      </w:r>
      <w:r>
        <w:rPr>
          <w:bCs/>
          <w:szCs w:val="21"/>
          <w:lang w:val="zh-CN"/>
        </w:rPr>
        <w:t>或纠正措施，则其理由应予以批准并记录。</w:t>
      </w:r>
    </w:p>
    <w:p>
      <w:pPr>
        <w:autoSpaceDE w:val="0"/>
        <w:autoSpaceDN w:val="0"/>
        <w:spacing w:line="360" w:lineRule="auto"/>
      </w:pPr>
      <w:r>
        <w:rPr>
          <w:bCs/>
          <w:szCs w:val="21"/>
          <w:lang w:val="zh-CN"/>
        </w:rPr>
        <w:t>如果国家或地方法规要求对符合规定的报告准则的不良事件发出通告，本公司应对告知行政主管部门的通告建立形成文件的程序。</w:t>
      </w:r>
    </w:p>
    <w:p>
      <w:pPr>
        <w:tabs>
          <w:tab w:val="left" w:pos="900"/>
        </w:tabs>
        <w:spacing w:line="360" w:lineRule="auto"/>
        <w:rPr>
          <w:b/>
        </w:rPr>
      </w:pPr>
      <w:r>
        <w:rPr>
          <w:rFonts w:hint="eastAsia"/>
          <w:b/>
        </w:rPr>
        <w:t>10.2不合格和纠正措施：</w:t>
      </w:r>
    </w:p>
    <w:p>
      <w:pPr>
        <w:spacing w:line="440" w:lineRule="exact"/>
        <w:rPr>
          <w:rFonts w:ascii="宋体" w:hAnsi="宋体"/>
          <w:szCs w:val="24"/>
        </w:rPr>
      </w:pPr>
      <w:r>
        <w:rPr>
          <w:rFonts w:hint="eastAsia" w:ascii="宋体" w:hAnsi="宋体"/>
          <w:szCs w:val="24"/>
        </w:rPr>
        <w:t xml:space="preserve">10.2.1若出现不合格，包括投诉所引起的不合格，各部门应：  </w:t>
      </w:r>
    </w:p>
    <w:p>
      <w:pPr>
        <w:spacing w:line="440" w:lineRule="exact"/>
        <w:rPr>
          <w:rFonts w:ascii="宋体" w:hAnsi="宋体"/>
          <w:szCs w:val="24"/>
        </w:rPr>
      </w:pPr>
      <w:r>
        <w:rPr>
          <w:rFonts w:hint="eastAsia" w:ascii="宋体" w:hAnsi="宋体"/>
          <w:szCs w:val="24"/>
        </w:rPr>
        <w:t xml:space="preserve">      a）对不合格做出应对，采取措施予以控制和纠正；处置产生的后果。  </w:t>
      </w:r>
    </w:p>
    <w:p>
      <w:pPr>
        <w:spacing w:line="440" w:lineRule="exact"/>
        <w:rPr>
          <w:rFonts w:ascii="宋体" w:hAnsi="宋体"/>
          <w:szCs w:val="24"/>
        </w:rPr>
      </w:pPr>
      <w:r>
        <w:rPr>
          <w:rFonts w:hint="eastAsia" w:ascii="宋体" w:hAnsi="宋体"/>
          <w:szCs w:val="24"/>
        </w:rPr>
        <w:t xml:space="preserve">      b）通过下列活动，评价是否需要采取措施，以消除产生不合格的原因，避免其再次发生或者在其他场合发生： </w:t>
      </w:r>
    </w:p>
    <w:p>
      <w:pPr>
        <w:spacing w:line="440" w:lineRule="exact"/>
        <w:rPr>
          <w:rFonts w:ascii="宋体" w:hAnsi="宋体"/>
          <w:szCs w:val="24"/>
        </w:rPr>
      </w:pPr>
      <w:r>
        <w:rPr>
          <w:rFonts w:hint="eastAsia" w:ascii="宋体" w:hAnsi="宋体"/>
          <w:szCs w:val="24"/>
        </w:rPr>
        <w:t xml:space="preserve">         1) 评审和分析不合格；  </w:t>
      </w:r>
    </w:p>
    <w:p>
      <w:pPr>
        <w:spacing w:line="440" w:lineRule="exact"/>
        <w:rPr>
          <w:rFonts w:ascii="宋体" w:hAnsi="宋体"/>
          <w:szCs w:val="24"/>
        </w:rPr>
      </w:pPr>
      <w:r>
        <w:rPr>
          <w:rFonts w:hint="eastAsia" w:ascii="宋体" w:hAnsi="宋体"/>
          <w:szCs w:val="24"/>
        </w:rPr>
        <w:t xml:space="preserve">         2）确定不合格的原因；  </w:t>
      </w:r>
    </w:p>
    <w:p>
      <w:pPr>
        <w:spacing w:line="440" w:lineRule="exact"/>
        <w:rPr>
          <w:rFonts w:ascii="宋体" w:hAnsi="宋体"/>
          <w:szCs w:val="24"/>
        </w:rPr>
      </w:pPr>
      <w:r>
        <w:rPr>
          <w:rFonts w:hint="eastAsia" w:ascii="宋体" w:hAnsi="宋体"/>
          <w:szCs w:val="24"/>
        </w:rPr>
        <w:t xml:space="preserve">         3）确定是否存在或可能发生类似的不合格。  </w:t>
      </w:r>
    </w:p>
    <w:p>
      <w:pPr>
        <w:spacing w:line="440" w:lineRule="exact"/>
        <w:rPr>
          <w:rFonts w:ascii="宋体" w:hAnsi="宋体"/>
          <w:szCs w:val="24"/>
        </w:rPr>
      </w:pPr>
      <w:r>
        <w:rPr>
          <w:rFonts w:hint="eastAsia" w:ascii="宋体" w:hAnsi="宋体"/>
          <w:szCs w:val="24"/>
        </w:rPr>
        <w:t xml:space="preserve">      c）实施纠正措施；  </w:t>
      </w:r>
    </w:p>
    <w:p>
      <w:pPr>
        <w:spacing w:line="440" w:lineRule="exact"/>
        <w:rPr>
          <w:rFonts w:ascii="宋体" w:hAnsi="宋体"/>
          <w:szCs w:val="24"/>
        </w:rPr>
      </w:pPr>
      <w:r>
        <w:rPr>
          <w:rFonts w:hint="eastAsia" w:ascii="宋体" w:hAnsi="宋体"/>
          <w:szCs w:val="24"/>
        </w:rPr>
        <w:t xml:space="preserve">      d）评审所采取的纠正措施的有效性；  </w:t>
      </w:r>
    </w:p>
    <w:p>
      <w:pPr>
        <w:spacing w:line="440" w:lineRule="exact"/>
        <w:rPr>
          <w:rFonts w:ascii="宋体" w:hAnsi="宋体"/>
          <w:szCs w:val="24"/>
        </w:rPr>
      </w:pPr>
      <w:r>
        <w:rPr>
          <w:rFonts w:hint="eastAsia" w:ascii="宋体" w:hAnsi="宋体"/>
          <w:szCs w:val="24"/>
        </w:rPr>
        <w:t xml:space="preserve">      e）需要时，更新策划期间确定的风险和机遇；  </w:t>
      </w:r>
    </w:p>
    <w:p>
      <w:pPr>
        <w:spacing w:line="440" w:lineRule="exact"/>
        <w:rPr>
          <w:rFonts w:ascii="宋体" w:hAnsi="宋体"/>
          <w:szCs w:val="24"/>
        </w:rPr>
      </w:pPr>
      <w:r>
        <w:rPr>
          <w:rFonts w:hint="eastAsia" w:ascii="宋体" w:hAnsi="宋体"/>
          <w:szCs w:val="24"/>
        </w:rPr>
        <w:t xml:space="preserve">      f）需要时，变更质量管理体系。  </w:t>
      </w:r>
    </w:p>
    <w:p>
      <w:pPr>
        <w:spacing w:line="440" w:lineRule="exact"/>
        <w:rPr>
          <w:rFonts w:ascii="宋体" w:hAnsi="宋体"/>
          <w:szCs w:val="24"/>
        </w:rPr>
      </w:pPr>
      <w:r>
        <w:rPr>
          <w:rFonts w:hint="eastAsia" w:ascii="宋体" w:hAnsi="宋体"/>
          <w:szCs w:val="24"/>
        </w:rPr>
        <w:t xml:space="preserve">     纠正措施应与所产生的不合格的影响相适应。 纠正措施的实施情况及实施效果的验证应提交管理评审。</w:t>
      </w:r>
    </w:p>
    <w:p>
      <w:pPr>
        <w:spacing w:line="440" w:lineRule="exact"/>
        <w:rPr>
          <w:rFonts w:ascii="宋体" w:hAnsi="宋体"/>
          <w:szCs w:val="24"/>
        </w:rPr>
      </w:pPr>
      <w:r>
        <w:rPr>
          <w:rFonts w:hint="eastAsia" w:ascii="宋体" w:hAnsi="宋体"/>
          <w:szCs w:val="24"/>
        </w:rPr>
        <w:t xml:space="preserve">  10.2.2 各部门针对不合格应保留文件和记录的信息，作为下列事项的证据：</w:t>
      </w:r>
    </w:p>
    <w:p>
      <w:pPr>
        <w:tabs>
          <w:tab w:val="left" w:pos="709"/>
        </w:tabs>
        <w:spacing w:line="440" w:lineRule="exact"/>
        <w:ind w:left="850" w:hanging="425"/>
        <w:rPr>
          <w:rFonts w:ascii="宋体" w:hAnsi="宋体"/>
          <w:szCs w:val="24"/>
        </w:rPr>
      </w:pPr>
      <w:r>
        <w:rPr>
          <w:rFonts w:hint="eastAsia" w:ascii="宋体" w:hAnsi="宋体"/>
          <w:szCs w:val="24"/>
        </w:rPr>
        <w:t xml:space="preserve">a）不合格的性质以及随后所采取的措施； </w:t>
      </w:r>
    </w:p>
    <w:p>
      <w:pPr>
        <w:spacing w:line="360" w:lineRule="auto"/>
        <w:ind w:left="850" w:hanging="425"/>
      </w:pPr>
      <w:r>
        <w:rPr>
          <w:rFonts w:hint="eastAsia" w:ascii="宋体" w:hAnsi="宋体"/>
          <w:szCs w:val="24"/>
        </w:rPr>
        <w:t>b）纠正措施的结果</w:t>
      </w:r>
      <w:r>
        <w:rPr>
          <w:rFonts w:hint="eastAsia"/>
        </w:rPr>
        <w:t>。</w:t>
      </w:r>
    </w:p>
    <w:p>
      <w:pPr>
        <w:tabs>
          <w:tab w:val="left" w:pos="900"/>
        </w:tabs>
        <w:spacing w:line="360" w:lineRule="auto"/>
        <w:rPr>
          <w:b/>
        </w:rPr>
      </w:pPr>
      <w:r>
        <w:rPr>
          <w:rFonts w:hint="eastAsia"/>
          <w:b/>
        </w:rPr>
        <w:t>10.3持续改进：</w:t>
      </w:r>
    </w:p>
    <w:p>
      <w:pPr>
        <w:tabs>
          <w:tab w:val="left" w:pos="900"/>
        </w:tabs>
        <w:spacing w:line="360" w:lineRule="auto"/>
      </w:pPr>
      <w:r>
        <w:rPr>
          <w:rFonts w:hint="eastAsia"/>
        </w:rPr>
        <w:t>组织应持续改进质量管理体系的适宜性、充分性和有效性。</w:t>
      </w:r>
    </w:p>
    <w:p>
      <w:pPr>
        <w:tabs>
          <w:tab w:val="left" w:pos="900"/>
        </w:tabs>
        <w:spacing w:line="360" w:lineRule="auto"/>
      </w:pPr>
      <w:r>
        <w:rPr>
          <w:rFonts w:hint="eastAsia"/>
        </w:rPr>
        <w:t>组织应考虑管理评审的分析、评价结果，已经管理评审的输出，确定是否存在持续改进的需求或机会。</w:t>
      </w: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pPr>
    </w:p>
    <w:p>
      <w:pPr>
        <w:tabs>
          <w:tab w:val="left" w:pos="900"/>
        </w:tabs>
        <w:spacing w:line="360" w:lineRule="auto"/>
        <w:ind w:firstLine="3654" w:firstLineChars="1300"/>
        <w:rPr>
          <w:b/>
          <w:sz w:val="28"/>
          <w:szCs w:val="28"/>
        </w:rPr>
      </w:pPr>
      <w:r>
        <w:rPr>
          <w:rFonts w:hint="eastAsia"/>
          <w:b/>
          <w:sz w:val="28"/>
          <w:szCs w:val="28"/>
        </w:rPr>
        <w:t>附件1、程序文件清单：</w:t>
      </w:r>
    </w:p>
    <w:tbl>
      <w:tblPr>
        <w:tblStyle w:val="17"/>
        <w:tblW w:w="10140" w:type="dxa"/>
        <w:tblInd w:w="-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4134"/>
        <w:gridCol w:w="2021"/>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pStyle w:val="35"/>
              <w:rPr>
                <w:rStyle w:val="29"/>
                <w:rFonts w:ascii="宋体" w:hAnsi="宋体"/>
                <w:color w:val="auto"/>
                <w:sz w:val="24"/>
                <w:szCs w:val="24"/>
                <w:u w:val="none"/>
              </w:rPr>
            </w:pPr>
            <w:r>
              <w:rPr>
                <w:rStyle w:val="29"/>
                <w:rFonts w:hint="eastAsia" w:ascii="宋体" w:hAnsi="宋体"/>
                <w:color w:val="auto"/>
                <w:sz w:val="24"/>
                <w:szCs w:val="24"/>
                <w:u w:val="none"/>
              </w:rPr>
              <w:t>序号</w:t>
            </w:r>
          </w:p>
        </w:tc>
        <w:tc>
          <w:tcPr>
            <w:tcW w:w="4134"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文  件  名  称</w:t>
            </w:r>
          </w:p>
        </w:tc>
        <w:tc>
          <w:tcPr>
            <w:tcW w:w="2021" w:type="dxa"/>
            <w:tcBorders>
              <w:top w:val="single" w:color="auto" w:sz="4" w:space="0"/>
              <w:right w:val="nil"/>
            </w:tcBorders>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文件编号</w:t>
            </w:r>
          </w:p>
        </w:tc>
        <w:tc>
          <w:tcPr>
            <w:tcW w:w="2126" w:type="dxa"/>
            <w:tcBorders>
              <w:top w:val="single" w:color="auto" w:sz="4" w:space="0"/>
            </w:tcBorders>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部门</w:t>
            </w:r>
          </w:p>
        </w:tc>
        <w:tc>
          <w:tcPr>
            <w:tcW w:w="127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修订状态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w:t>
            </w:r>
          </w:p>
        </w:tc>
        <w:tc>
          <w:tcPr>
            <w:tcW w:w="4134" w:type="dxa"/>
            <w:vAlign w:val="center"/>
          </w:tcPr>
          <w:p>
            <w:pPr>
              <w:pStyle w:val="35"/>
              <w:rPr>
                <w:rStyle w:val="29"/>
                <w:rFonts w:ascii="宋体" w:hAnsi="宋体"/>
                <w:color w:val="auto"/>
                <w:sz w:val="24"/>
                <w:szCs w:val="24"/>
                <w:u w:val="none"/>
              </w:rPr>
            </w:pPr>
            <w:r>
              <w:rPr>
                <w:rFonts w:hint="eastAsia"/>
              </w:rPr>
              <w:t>公司环境分析控制程序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HB/QP-01- 2020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总经理</w:t>
            </w:r>
          </w:p>
        </w:tc>
        <w:tc>
          <w:tcPr>
            <w:tcW w:w="127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2</w:t>
            </w:r>
          </w:p>
        </w:tc>
        <w:tc>
          <w:tcPr>
            <w:tcW w:w="4134" w:type="dxa"/>
            <w:vAlign w:val="center"/>
          </w:tcPr>
          <w:p>
            <w:pPr>
              <w:pStyle w:val="35"/>
              <w:rPr>
                <w:rStyle w:val="29"/>
                <w:rFonts w:ascii="宋体" w:hAnsi="宋体"/>
                <w:color w:val="auto"/>
                <w:sz w:val="24"/>
                <w:szCs w:val="24"/>
                <w:u w:val="none"/>
              </w:rPr>
            </w:pPr>
            <w:r>
              <w:rPr>
                <w:rFonts w:hint="eastAsia"/>
              </w:rPr>
              <w:t>相关方需求和期望控制程序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HB/QP-02- 2020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总经理</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3</w:t>
            </w:r>
          </w:p>
        </w:tc>
        <w:tc>
          <w:tcPr>
            <w:tcW w:w="4134" w:type="dxa"/>
            <w:vAlign w:val="center"/>
          </w:tcPr>
          <w:p>
            <w:pPr>
              <w:pStyle w:val="35"/>
              <w:rPr>
                <w:rStyle w:val="29"/>
                <w:rFonts w:ascii="宋体" w:hAnsi="宋体"/>
                <w:color w:val="auto"/>
                <w:sz w:val="24"/>
                <w:szCs w:val="24"/>
                <w:u w:val="none"/>
              </w:rPr>
            </w:pPr>
            <w:r>
              <w:rPr>
                <w:rFonts w:hint="eastAsia"/>
              </w:rPr>
              <w:t>风险和机遇应对措施控制程序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HB/QP-03- 2020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4</w:t>
            </w:r>
          </w:p>
        </w:tc>
        <w:tc>
          <w:tcPr>
            <w:tcW w:w="4134" w:type="dxa"/>
            <w:vAlign w:val="center"/>
          </w:tcPr>
          <w:p>
            <w:pPr>
              <w:pStyle w:val="35"/>
              <w:rPr>
                <w:rStyle w:val="29"/>
                <w:rFonts w:ascii="宋体" w:hAnsi="宋体"/>
                <w:color w:val="auto"/>
                <w:sz w:val="24"/>
                <w:szCs w:val="24"/>
                <w:u w:val="none"/>
              </w:rPr>
            </w:pPr>
            <w:r>
              <w:rPr>
                <w:rFonts w:hint="eastAsia"/>
              </w:rPr>
              <w:t>设备维护保养控制程序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HB/QP-04- 2020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项目部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5</w:t>
            </w:r>
          </w:p>
        </w:tc>
        <w:tc>
          <w:tcPr>
            <w:tcW w:w="4134" w:type="dxa"/>
            <w:vAlign w:val="center"/>
          </w:tcPr>
          <w:p>
            <w:pPr>
              <w:pStyle w:val="35"/>
              <w:rPr>
                <w:rStyle w:val="29"/>
                <w:rFonts w:ascii="宋体" w:hAnsi="宋体"/>
                <w:color w:val="auto"/>
                <w:sz w:val="24"/>
                <w:szCs w:val="24"/>
                <w:u w:val="none"/>
              </w:rPr>
            </w:pPr>
            <w:r>
              <w:rPr>
                <w:rFonts w:hint="eastAsia"/>
              </w:rPr>
              <w:t>过程运行环境控制程序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HB/QP-05- 2020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6</w:t>
            </w:r>
          </w:p>
        </w:tc>
        <w:tc>
          <w:tcPr>
            <w:tcW w:w="4134" w:type="dxa"/>
            <w:vAlign w:val="center"/>
          </w:tcPr>
          <w:p>
            <w:pPr>
              <w:pStyle w:val="35"/>
              <w:rPr>
                <w:rStyle w:val="29"/>
                <w:rFonts w:ascii="宋体" w:hAnsi="宋体"/>
                <w:color w:val="auto"/>
                <w:sz w:val="24"/>
                <w:szCs w:val="24"/>
                <w:u w:val="none"/>
              </w:rPr>
            </w:pPr>
            <w:r>
              <w:rPr>
                <w:rFonts w:hint="eastAsia"/>
              </w:rPr>
              <w:t>监视和测量资源控制程序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HB/QP-06- 2020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项目部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7</w:t>
            </w:r>
          </w:p>
        </w:tc>
        <w:tc>
          <w:tcPr>
            <w:tcW w:w="4134" w:type="dxa"/>
            <w:vAlign w:val="center"/>
          </w:tcPr>
          <w:p>
            <w:pPr>
              <w:pStyle w:val="35"/>
              <w:rPr>
                <w:rStyle w:val="29"/>
                <w:rFonts w:ascii="宋体" w:hAnsi="宋体"/>
                <w:color w:val="auto"/>
                <w:sz w:val="24"/>
                <w:szCs w:val="24"/>
                <w:u w:val="none"/>
              </w:rPr>
            </w:pPr>
            <w:r>
              <w:rPr>
                <w:rFonts w:hint="eastAsia"/>
              </w:rPr>
              <w:t>公司知识控制程序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HB/QP-07- 2020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8</w:t>
            </w:r>
          </w:p>
        </w:tc>
        <w:tc>
          <w:tcPr>
            <w:tcW w:w="4134" w:type="dxa"/>
            <w:vAlign w:val="center"/>
          </w:tcPr>
          <w:p>
            <w:pPr>
              <w:pStyle w:val="35"/>
              <w:rPr>
                <w:rStyle w:val="29"/>
                <w:rFonts w:ascii="宋体" w:hAnsi="宋体"/>
                <w:color w:val="auto"/>
                <w:sz w:val="24"/>
                <w:szCs w:val="24"/>
                <w:u w:val="none"/>
              </w:rPr>
            </w:pPr>
            <w:r>
              <w:rPr>
                <w:rFonts w:hint="eastAsia"/>
              </w:rPr>
              <w:t>人力资源控制程序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HB/QP-08- 2020</w:t>
            </w:r>
          </w:p>
        </w:tc>
        <w:tc>
          <w:tcPr>
            <w:tcW w:w="2126" w:type="dxa"/>
            <w:vAlign w:val="center"/>
          </w:tcPr>
          <w:p>
            <w:pPr>
              <w:pStyle w:val="35"/>
              <w:rPr>
                <w:rStyle w:val="29"/>
                <w:rFonts w:ascii="宋体" w:hAnsi="宋体"/>
                <w:color w:val="auto"/>
                <w:sz w:val="24"/>
                <w:szCs w:val="24"/>
                <w:u w:val="none"/>
              </w:rPr>
            </w:pPr>
            <w:r>
              <w:rPr>
                <w:rFonts w:hint="eastAsia"/>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9</w:t>
            </w:r>
          </w:p>
        </w:tc>
        <w:tc>
          <w:tcPr>
            <w:tcW w:w="4134" w:type="dxa"/>
            <w:vAlign w:val="center"/>
          </w:tcPr>
          <w:p>
            <w:pPr>
              <w:pStyle w:val="35"/>
              <w:rPr>
                <w:rStyle w:val="29"/>
                <w:rFonts w:ascii="宋体" w:hAnsi="宋体"/>
                <w:color w:val="auto"/>
                <w:sz w:val="24"/>
                <w:szCs w:val="24"/>
                <w:u w:val="none"/>
              </w:rPr>
            </w:pPr>
            <w:r>
              <w:rPr>
                <w:rFonts w:hint="eastAsia"/>
              </w:rPr>
              <w:t>沟通控制程序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HB/QP-09- 2020</w:t>
            </w:r>
          </w:p>
        </w:tc>
        <w:tc>
          <w:tcPr>
            <w:tcW w:w="2126" w:type="dxa"/>
            <w:vAlign w:val="center"/>
          </w:tcPr>
          <w:p>
            <w:pPr>
              <w:pStyle w:val="35"/>
              <w:rPr>
                <w:rStyle w:val="29"/>
                <w:rFonts w:ascii="宋体" w:hAnsi="宋体"/>
                <w:color w:val="auto"/>
                <w:sz w:val="24"/>
                <w:szCs w:val="24"/>
                <w:u w:val="none"/>
              </w:rPr>
            </w:pPr>
            <w:r>
              <w:rPr>
                <w:rFonts w:hint="eastAsia"/>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10</w:t>
            </w:r>
          </w:p>
        </w:tc>
        <w:tc>
          <w:tcPr>
            <w:tcW w:w="4134" w:type="dxa"/>
            <w:vAlign w:val="center"/>
          </w:tcPr>
          <w:p>
            <w:pPr>
              <w:pStyle w:val="35"/>
              <w:rPr>
                <w:rStyle w:val="29"/>
                <w:rFonts w:ascii="宋体" w:hAnsi="宋体"/>
                <w:color w:val="auto"/>
                <w:sz w:val="24"/>
                <w:szCs w:val="24"/>
                <w:u w:val="none"/>
              </w:rPr>
            </w:pPr>
            <w:r>
              <w:rPr>
                <w:rFonts w:hint="eastAsia"/>
              </w:rPr>
              <w:t>文件和记录控制程序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HB/QP-10- 2020</w:t>
            </w:r>
          </w:p>
        </w:tc>
        <w:tc>
          <w:tcPr>
            <w:tcW w:w="2126" w:type="dxa"/>
            <w:vAlign w:val="center"/>
          </w:tcPr>
          <w:p>
            <w:pPr>
              <w:pStyle w:val="35"/>
              <w:rPr>
                <w:rStyle w:val="29"/>
                <w:rFonts w:ascii="宋体" w:hAnsi="宋体"/>
                <w:color w:val="auto"/>
                <w:sz w:val="24"/>
                <w:szCs w:val="24"/>
                <w:u w:val="none"/>
              </w:rPr>
            </w:pPr>
            <w:r>
              <w:rPr>
                <w:rFonts w:hint="eastAsia"/>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11</w:t>
            </w:r>
          </w:p>
        </w:tc>
        <w:tc>
          <w:tcPr>
            <w:tcW w:w="4134" w:type="dxa"/>
            <w:vAlign w:val="center"/>
          </w:tcPr>
          <w:p>
            <w:pPr>
              <w:pStyle w:val="35"/>
              <w:rPr>
                <w:rStyle w:val="29"/>
                <w:rFonts w:ascii="宋体" w:hAnsi="宋体"/>
                <w:color w:val="auto"/>
                <w:sz w:val="24"/>
                <w:szCs w:val="24"/>
                <w:u w:val="none"/>
              </w:rPr>
            </w:pPr>
            <w:r>
              <w:rPr>
                <w:rFonts w:hint="eastAsia"/>
              </w:rPr>
              <w:t>产品和服务要求控制程序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HB/QP-11- 2020</w:t>
            </w:r>
          </w:p>
        </w:tc>
        <w:tc>
          <w:tcPr>
            <w:tcW w:w="2126"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供销部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12</w:t>
            </w:r>
          </w:p>
        </w:tc>
        <w:tc>
          <w:tcPr>
            <w:tcW w:w="4134" w:type="dxa"/>
            <w:vAlign w:val="center"/>
          </w:tcPr>
          <w:p>
            <w:pPr>
              <w:pStyle w:val="35"/>
              <w:rPr>
                <w:rStyle w:val="29"/>
                <w:rFonts w:ascii="宋体" w:hAnsi="宋体"/>
                <w:color w:val="auto"/>
                <w:sz w:val="24"/>
                <w:szCs w:val="24"/>
                <w:u w:val="none"/>
              </w:rPr>
            </w:pPr>
            <w:r>
              <w:rPr>
                <w:rFonts w:hint="eastAsia"/>
              </w:rPr>
              <w:t>采购和外部供方控制程序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HB/QP-12- 2020</w:t>
            </w:r>
          </w:p>
        </w:tc>
        <w:tc>
          <w:tcPr>
            <w:tcW w:w="2126" w:type="dxa"/>
            <w:vAlign w:val="center"/>
          </w:tcPr>
          <w:p>
            <w:pPr>
              <w:pStyle w:val="35"/>
              <w:rPr>
                <w:rStyle w:val="29"/>
                <w:rFonts w:ascii="宋体" w:hAnsi="宋体"/>
                <w:color w:val="auto"/>
                <w:sz w:val="24"/>
                <w:szCs w:val="24"/>
                <w:u w:val="none"/>
              </w:rPr>
            </w:pPr>
            <w:r>
              <w:rPr>
                <w:rFonts w:hint="eastAsia"/>
              </w:rPr>
              <w:t>供销部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13</w:t>
            </w:r>
          </w:p>
        </w:tc>
        <w:tc>
          <w:tcPr>
            <w:tcW w:w="4134" w:type="dxa"/>
            <w:vAlign w:val="center"/>
          </w:tcPr>
          <w:p>
            <w:pPr>
              <w:pStyle w:val="35"/>
              <w:rPr>
                <w:rStyle w:val="29"/>
                <w:rFonts w:ascii="宋体" w:hAnsi="宋体"/>
                <w:color w:val="auto"/>
                <w:sz w:val="24"/>
                <w:szCs w:val="24"/>
                <w:u w:val="none"/>
              </w:rPr>
            </w:pPr>
            <w:r>
              <w:rPr>
                <w:rFonts w:hint="eastAsia"/>
              </w:rPr>
              <w:t>顾客满意度测量控制程序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HB/QP-13- 2020</w:t>
            </w:r>
          </w:p>
        </w:tc>
        <w:tc>
          <w:tcPr>
            <w:tcW w:w="2126" w:type="dxa"/>
            <w:vAlign w:val="center"/>
          </w:tcPr>
          <w:p>
            <w:pPr>
              <w:pStyle w:val="35"/>
              <w:rPr>
                <w:rStyle w:val="29"/>
                <w:rFonts w:ascii="宋体" w:hAnsi="宋体"/>
                <w:color w:val="auto"/>
                <w:sz w:val="24"/>
                <w:szCs w:val="24"/>
                <w:u w:val="none"/>
              </w:rPr>
            </w:pPr>
            <w:r>
              <w:rPr>
                <w:rFonts w:hint="eastAsia"/>
              </w:rPr>
              <w:t>供销部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14</w:t>
            </w:r>
          </w:p>
        </w:tc>
        <w:tc>
          <w:tcPr>
            <w:tcW w:w="4134" w:type="dxa"/>
            <w:vAlign w:val="center"/>
          </w:tcPr>
          <w:p>
            <w:pPr>
              <w:pStyle w:val="35"/>
              <w:rPr>
                <w:rStyle w:val="29"/>
                <w:rFonts w:ascii="宋体" w:hAnsi="宋体"/>
                <w:color w:val="auto"/>
                <w:sz w:val="24"/>
                <w:szCs w:val="24"/>
                <w:u w:val="none"/>
              </w:rPr>
            </w:pPr>
            <w:r>
              <w:rPr>
                <w:rFonts w:hint="eastAsia"/>
              </w:rPr>
              <w:t>内部审核控制程序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HB/QP-14- 2020</w:t>
            </w:r>
          </w:p>
        </w:tc>
        <w:tc>
          <w:tcPr>
            <w:tcW w:w="2126" w:type="dxa"/>
            <w:vAlign w:val="center"/>
          </w:tcPr>
          <w:p>
            <w:pPr>
              <w:pStyle w:val="35"/>
              <w:rPr>
                <w:rStyle w:val="29"/>
                <w:rFonts w:ascii="宋体" w:hAnsi="宋体"/>
                <w:color w:val="auto"/>
                <w:sz w:val="24"/>
                <w:szCs w:val="24"/>
                <w:u w:val="none"/>
              </w:rPr>
            </w:pPr>
            <w:r>
              <w:rPr>
                <w:rFonts w:hint="eastAsia"/>
              </w:rPr>
              <w:t>办公室</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15</w:t>
            </w:r>
          </w:p>
        </w:tc>
        <w:tc>
          <w:tcPr>
            <w:tcW w:w="4134" w:type="dxa"/>
            <w:vAlign w:val="center"/>
          </w:tcPr>
          <w:p>
            <w:pPr>
              <w:pStyle w:val="35"/>
              <w:rPr>
                <w:rStyle w:val="29"/>
                <w:rFonts w:ascii="宋体" w:hAnsi="宋体"/>
                <w:color w:val="auto"/>
                <w:sz w:val="24"/>
                <w:szCs w:val="24"/>
                <w:u w:val="none"/>
              </w:rPr>
            </w:pPr>
            <w:r>
              <w:rPr>
                <w:rFonts w:hint="eastAsia"/>
              </w:rPr>
              <w:t>管理评审控制程序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HB/QP-15- 2020</w:t>
            </w:r>
          </w:p>
        </w:tc>
        <w:tc>
          <w:tcPr>
            <w:tcW w:w="2126" w:type="dxa"/>
            <w:vAlign w:val="center"/>
          </w:tcPr>
          <w:p>
            <w:pPr>
              <w:pStyle w:val="35"/>
              <w:rPr>
                <w:rStyle w:val="29"/>
                <w:rFonts w:ascii="宋体" w:hAnsi="宋体"/>
                <w:color w:val="auto"/>
                <w:sz w:val="24"/>
                <w:szCs w:val="24"/>
                <w:u w:val="none"/>
              </w:rPr>
            </w:pPr>
            <w:r>
              <w:rPr>
                <w:rFonts w:hint="eastAsia"/>
              </w:rPr>
              <w:t>总经理</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bookmarkStart w:id="5" w:name="_Hlk534963774"/>
            <w:r>
              <w:rPr>
                <w:rStyle w:val="29"/>
                <w:rFonts w:hint="eastAsia" w:ascii="宋体" w:hAnsi="宋体"/>
                <w:color w:val="auto"/>
                <w:sz w:val="24"/>
                <w:szCs w:val="24"/>
                <w:u w:val="none"/>
              </w:rPr>
              <w:t>16</w:t>
            </w:r>
          </w:p>
        </w:tc>
        <w:tc>
          <w:tcPr>
            <w:tcW w:w="4134" w:type="dxa"/>
            <w:vAlign w:val="center"/>
          </w:tcPr>
          <w:p>
            <w:pPr>
              <w:pStyle w:val="35"/>
              <w:rPr>
                <w:rStyle w:val="29"/>
                <w:rFonts w:ascii="宋体" w:hAnsi="宋体"/>
                <w:color w:val="auto"/>
                <w:sz w:val="24"/>
                <w:szCs w:val="24"/>
                <w:u w:val="none"/>
              </w:rPr>
            </w:pPr>
            <w:r>
              <w:rPr>
                <w:rFonts w:hint="eastAsia"/>
              </w:rPr>
              <w:t>不合格和纠正措施控制程序</w:t>
            </w:r>
          </w:p>
        </w:tc>
        <w:tc>
          <w:tcPr>
            <w:tcW w:w="2021" w:type="dxa"/>
            <w:tcBorders>
              <w:right w:val="nil"/>
            </w:tcBorders>
            <w:vAlign w:val="center"/>
          </w:tcPr>
          <w:p>
            <w:pPr>
              <w:pStyle w:val="35"/>
              <w:rPr>
                <w:rStyle w:val="29"/>
                <w:rFonts w:ascii="宋体" w:hAnsi="宋体"/>
                <w:color w:val="auto"/>
                <w:sz w:val="24"/>
                <w:szCs w:val="24"/>
                <w:u w:val="none"/>
              </w:rPr>
            </w:pPr>
            <w:r>
              <w:t xml:space="preserve"> HB/QP-16- 2020</w:t>
            </w:r>
          </w:p>
        </w:tc>
        <w:tc>
          <w:tcPr>
            <w:tcW w:w="2126" w:type="dxa"/>
            <w:vAlign w:val="center"/>
          </w:tcPr>
          <w:p>
            <w:pPr>
              <w:pStyle w:val="35"/>
              <w:rPr>
                <w:rStyle w:val="29"/>
                <w:rFonts w:ascii="宋体" w:hAnsi="宋体"/>
                <w:color w:val="auto"/>
                <w:sz w:val="24"/>
                <w:szCs w:val="24"/>
                <w:u w:val="none"/>
              </w:rPr>
            </w:pPr>
            <w:r>
              <w:rPr>
                <w:rFonts w:hint="eastAsia"/>
              </w:rPr>
              <w:t>项目部</w:t>
            </w:r>
          </w:p>
        </w:tc>
        <w:tc>
          <w:tcPr>
            <w:tcW w:w="1276" w:type="dxa"/>
            <w:vAlign w:val="center"/>
          </w:tcPr>
          <w:p>
            <w:pPr>
              <w:pStyle w:val="35"/>
              <w:rPr>
                <w:rStyle w:val="29"/>
                <w:rFonts w:ascii="宋体" w:hAnsi="宋体"/>
                <w:color w:val="auto"/>
                <w:sz w:val="24"/>
                <w:szCs w:val="24"/>
                <w:u w:val="none"/>
              </w:rPr>
            </w:pPr>
            <w: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3" w:type="dxa"/>
            <w:vAlign w:val="center"/>
          </w:tcPr>
          <w:p>
            <w:pPr>
              <w:pStyle w:val="35"/>
              <w:rPr>
                <w:rStyle w:val="29"/>
                <w:rFonts w:ascii="宋体" w:hAnsi="宋体"/>
                <w:color w:val="auto"/>
                <w:sz w:val="24"/>
                <w:szCs w:val="24"/>
                <w:u w:val="none"/>
              </w:rPr>
            </w:pPr>
            <w:r>
              <w:rPr>
                <w:rStyle w:val="29"/>
                <w:rFonts w:hint="eastAsia" w:ascii="宋体" w:hAnsi="宋体"/>
                <w:color w:val="auto"/>
                <w:sz w:val="24"/>
                <w:szCs w:val="24"/>
                <w:u w:val="none"/>
              </w:rPr>
              <w:t>1</w:t>
            </w:r>
            <w:r>
              <w:rPr>
                <w:rStyle w:val="29"/>
                <w:rFonts w:ascii="宋体" w:hAnsi="宋体"/>
                <w:color w:val="auto"/>
                <w:sz w:val="24"/>
                <w:szCs w:val="24"/>
                <w:u w:val="none"/>
              </w:rPr>
              <w:t>7</w:t>
            </w:r>
          </w:p>
        </w:tc>
        <w:tc>
          <w:tcPr>
            <w:tcW w:w="4134" w:type="dxa"/>
            <w:vAlign w:val="center"/>
          </w:tcPr>
          <w:p>
            <w:pPr>
              <w:pStyle w:val="35"/>
            </w:pPr>
            <w:r>
              <w:rPr>
                <w:rFonts w:hint="eastAsia"/>
              </w:rPr>
              <w:t>与顾客有关的过程控制程序</w:t>
            </w:r>
          </w:p>
        </w:tc>
        <w:tc>
          <w:tcPr>
            <w:tcW w:w="2021" w:type="dxa"/>
            <w:tcBorders>
              <w:right w:val="nil"/>
            </w:tcBorders>
            <w:vAlign w:val="center"/>
          </w:tcPr>
          <w:p>
            <w:pPr>
              <w:pStyle w:val="35"/>
            </w:pPr>
            <w:r>
              <w:t xml:space="preserve"> HB/QP-17- 2020</w:t>
            </w:r>
          </w:p>
        </w:tc>
        <w:tc>
          <w:tcPr>
            <w:tcW w:w="2126" w:type="dxa"/>
            <w:vAlign w:val="center"/>
          </w:tcPr>
          <w:p>
            <w:pPr>
              <w:pStyle w:val="35"/>
            </w:pPr>
            <w:r>
              <w:rPr>
                <w:rFonts w:hint="eastAsia"/>
              </w:rPr>
              <w:t>供销部</w:t>
            </w:r>
          </w:p>
        </w:tc>
        <w:tc>
          <w:tcPr>
            <w:tcW w:w="1276" w:type="dxa"/>
            <w:vAlign w:val="center"/>
          </w:tcPr>
          <w:p>
            <w:pPr>
              <w:pStyle w:val="35"/>
              <w:rPr>
                <w:rStyle w:val="29"/>
                <w:rFonts w:ascii="宋体" w:hAnsi="宋体"/>
                <w:color w:val="auto"/>
                <w:sz w:val="24"/>
                <w:szCs w:val="24"/>
                <w:u w:val="none"/>
              </w:rPr>
            </w:pPr>
            <w:r>
              <w:t>A/0</w:t>
            </w:r>
          </w:p>
        </w:tc>
      </w:tr>
      <w:bookmarkEnd w:id="5"/>
    </w:tbl>
    <w:p>
      <w:pPr>
        <w:tabs>
          <w:tab w:val="left" w:pos="900"/>
        </w:tabs>
        <w:spacing w:line="360" w:lineRule="auto"/>
      </w:pPr>
    </w:p>
    <w:p>
      <w:pPr>
        <w:tabs>
          <w:tab w:val="left" w:pos="900"/>
        </w:tabs>
        <w:spacing w:line="360" w:lineRule="auto"/>
        <w:rPr>
          <w:b/>
        </w:rPr>
      </w:pPr>
    </w:p>
    <w:p>
      <w:pPr>
        <w:tabs>
          <w:tab w:val="left" w:pos="900"/>
        </w:tabs>
        <w:spacing w:line="360" w:lineRule="auto"/>
        <w:rPr>
          <w:b/>
        </w:rPr>
      </w:pPr>
    </w:p>
    <w:p>
      <w:pPr>
        <w:tabs>
          <w:tab w:val="left" w:pos="900"/>
        </w:tabs>
        <w:spacing w:line="360" w:lineRule="auto"/>
        <w:rPr>
          <w:b/>
        </w:rPr>
      </w:pPr>
    </w:p>
    <w:p>
      <w:pPr>
        <w:tabs>
          <w:tab w:val="left" w:pos="900"/>
        </w:tabs>
        <w:spacing w:line="360" w:lineRule="auto"/>
        <w:rPr>
          <w:b/>
        </w:rPr>
      </w:pPr>
    </w:p>
    <w:p>
      <w:pPr>
        <w:tabs>
          <w:tab w:val="left" w:pos="900"/>
        </w:tabs>
        <w:spacing w:line="360" w:lineRule="auto"/>
        <w:rPr>
          <w:b/>
        </w:rPr>
      </w:pPr>
    </w:p>
    <w:p>
      <w:pPr>
        <w:tabs>
          <w:tab w:val="left" w:pos="900"/>
        </w:tabs>
        <w:spacing w:line="360" w:lineRule="auto"/>
        <w:rPr>
          <w:b/>
        </w:rPr>
      </w:pPr>
    </w:p>
    <w:p>
      <w:pPr>
        <w:tabs>
          <w:tab w:val="left" w:pos="900"/>
        </w:tabs>
        <w:spacing w:line="360" w:lineRule="auto"/>
        <w:rPr>
          <w:b/>
        </w:rPr>
      </w:pPr>
      <w:r>
        <w:rPr>
          <w:rFonts w:hint="eastAsia"/>
          <w:b/>
        </w:rPr>
        <w:t>附件二：职能分配表：</w:t>
      </w:r>
    </w:p>
    <w:tbl>
      <w:tblPr>
        <w:tblStyle w:val="17"/>
        <w:tblpPr w:leftFromText="180" w:rightFromText="180" w:vertAnchor="text" w:tblpX="10574" w:tblpY="-474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pPr>
              <w:tabs>
                <w:tab w:val="left" w:pos="900"/>
              </w:tabs>
              <w:spacing w:line="360" w:lineRule="auto"/>
            </w:pPr>
          </w:p>
        </w:tc>
      </w:tr>
    </w:tbl>
    <w:p>
      <w:pPr>
        <w:rPr>
          <w:vanish/>
        </w:rPr>
      </w:pPr>
    </w:p>
    <w:tbl>
      <w:tblPr>
        <w:tblStyle w:val="17"/>
        <w:tblpPr w:leftFromText="180" w:rightFromText="180" w:vertAnchor="text" w:tblpX="10573" w:tblpY="-4813"/>
        <w:tblOverlap w:val="never"/>
        <w:tblW w:w="785" w:type="dxa"/>
        <w:tblInd w:w="0" w:type="dxa"/>
        <w:tblLayout w:type="fixed"/>
        <w:tblCellMar>
          <w:top w:w="0" w:type="dxa"/>
          <w:left w:w="108" w:type="dxa"/>
          <w:bottom w:w="0" w:type="dxa"/>
          <w:right w:w="108" w:type="dxa"/>
        </w:tblCellMar>
      </w:tblPr>
      <w:tblGrid>
        <w:gridCol w:w="785"/>
      </w:tblGrid>
      <w:tr>
        <w:tblPrEx>
          <w:tblCellMar>
            <w:top w:w="0" w:type="dxa"/>
            <w:left w:w="108" w:type="dxa"/>
            <w:bottom w:w="0" w:type="dxa"/>
            <w:right w:w="108" w:type="dxa"/>
          </w:tblCellMar>
        </w:tblPrEx>
        <w:trPr>
          <w:trHeight w:val="30" w:hRule="atLeast"/>
        </w:trPr>
        <w:tc>
          <w:tcPr>
            <w:tcW w:w="785" w:type="dxa"/>
          </w:tcPr>
          <w:p>
            <w:pPr>
              <w:tabs>
                <w:tab w:val="left" w:pos="900"/>
              </w:tabs>
              <w:spacing w:line="360" w:lineRule="auto"/>
            </w:pPr>
          </w:p>
        </w:tc>
      </w:tr>
    </w:tbl>
    <w:p>
      <w:pPr>
        <w:rPr>
          <w:vanish/>
        </w:rPr>
      </w:pPr>
      <w:bookmarkStart w:id="6" w:name="OLE_LINK60" w:colFirst="3" w:colLast="8"/>
    </w:p>
    <w:bookmarkEnd w:id="6"/>
    <w:p>
      <w:pPr>
        <w:autoSpaceDE w:val="0"/>
        <w:autoSpaceDN w:val="0"/>
        <w:spacing w:before="264" w:line="500" w:lineRule="exact"/>
        <w:ind w:left="851"/>
        <w:jc w:val="center"/>
        <w:rPr>
          <w:rFonts w:ascii="宋体" w:hAnsi="宋体" w:cs="宋体"/>
          <w:b/>
          <w:bCs/>
          <w:sz w:val="28"/>
          <w:szCs w:val="28"/>
        </w:rPr>
      </w:pPr>
      <w:r>
        <w:rPr>
          <w:rFonts w:hint="eastAsia" w:ascii="宋体" w:hAnsi="宋体" w:cs="宋体"/>
          <w:b/>
          <w:bCs/>
          <w:sz w:val="28"/>
          <w:szCs w:val="28"/>
        </w:rPr>
        <w:t>质量管理体系职能分配表</w:t>
      </w:r>
    </w:p>
    <w:tbl>
      <w:tblPr>
        <w:tblStyle w:val="17"/>
        <w:tblW w:w="82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132"/>
        <w:gridCol w:w="1136"/>
        <w:gridCol w:w="113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trPr>
        <w:tc>
          <w:tcPr>
            <w:tcW w:w="3713"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260" w:lineRule="atLeast"/>
              <w:ind w:firstLine="2160" w:firstLineChars="900"/>
              <w:rPr>
                <w:rFonts w:ascii="宋体" w:hAnsi="宋体" w:cs="宋体"/>
                <w:szCs w:val="24"/>
              </w:rPr>
            </w:pPr>
            <w:r>
              <w:rPr>
                <w:rFonts w:hint="eastAsia" w:ascii="宋体" w:hAnsi="宋体" w:cs="宋体"/>
                <w:szCs w:val="24"/>
              </w:rPr>
              <w:t>职能分配</w:t>
            </w:r>
          </w:p>
          <w:p>
            <w:pPr>
              <w:rPr>
                <w:rFonts w:ascii="宋体" w:hAnsi="宋体" w:cs="宋体"/>
                <w:szCs w:val="24"/>
              </w:rPr>
            </w:pPr>
          </w:p>
          <w:p>
            <w:pPr>
              <w:spacing w:line="260" w:lineRule="atLeast"/>
              <w:rPr>
                <w:rFonts w:ascii="宋体" w:hAnsi="宋体" w:cs="宋体"/>
                <w:szCs w:val="24"/>
              </w:rPr>
            </w:pPr>
            <w:r>
              <w:rPr>
                <w:rFonts w:hint="eastAsia" w:ascii="宋体" w:hAnsi="宋体" w:cs="宋体"/>
                <w:szCs w:val="24"/>
              </w:rPr>
              <w:t>职能要素</w:t>
            </w:r>
          </w:p>
        </w:tc>
        <w:tc>
          <w:tcPr>
            <w:tcW w:w="1132" w:type="dxa"/>
            <w:vAlign w:val="center"/>
          </w:tcPr>
          <w:p>
            <w:pPr>
              <w:spacing w:line="260" w:lineRule="atLeast"/>
              <w:jc w:val="center"/>
              <w:rPr>
                <w:rFonts w:ascii="宋体" w:hAnsi="宋体" w:cs="宋体"/>
                <w:szCs w:val="24"/>
              </w:rPr>
            </w:pPr>
            <w:r>
              <w:rPr>
                <w:rFonts w:hint="eastAsia" w:ascii="宋体" w:hAnsi="宋体" w:cs="宋体"/>
                <w:szCs w:val="24"/>
              </w:rPr>
              <w:t>管理层</w:t>
            </w:r>
          </w:p>
        </w:tc>
        <w:tc>
          <w:tcPr>
            <w:tcW w:w="1136" w:type="dxa"/>
            <w:vAlign w:val="center"/>
          </w:tcPr>
          <w:p>
            <w:pPr>
              <w:spacing w:line="260" w:lineRule="atLeast"/>
              <w:jc w:val="center"/>
              <w:rPr>
                <w:rFonts w:ascii="宋体" w:hAnsi="宋体" w:cs="宋体"/>
                <w:szCs w:val="24"/>
              </w:rPr>
            </w:pPr>
            <w:r>
              <w:rPr>
                <w:rFonts w:hint="eastAsia" w:ascii="宋体" w:hAnsi="宋体" w:cs="宋体"/>
                <w:szCs w:val="24"/>
              </w:rPr>
              <w:t>办公室</w:t>
            </w:r>
          </w:p>
        </w:tc>
        <w:tc>
          <w:tcPr>
            <w:tcW w:w="1134" w:type="dxa"/>
            <w:vAlign w:val="center"/>
          </w:tcPr>
          <w:p>
            <w:pPr>
              <w:spacing w:line="260" w:lineRule="atLeast"/>
              <w:rPr>
                <w:rFonts w:ascii="宋体" w:hAnsi="宋体" w:cs="宋体"/>
                <w:szCs w:val="24"/>
              </w:rPr>
            </w:pPr>
            <w:r>
              <w:rPr>
                <w:rFonts w:hint="eastAsia" w:ascii="宋体" w:hAnsi="宋体" w:cs="宋体"/>
                <w:szCs w:val="24"/>
              </w:rPr>
              <w:t>供销部</w:t>
            </w:r>
          </w:p>
        </w:tc>
        <w:tc>
          <w:tcPr>
            <w:tcW w:w="1132" w:type="dxa"/>
            <w:vAlign w:val="center"/>
          </w:tcPr>
          <w:p>
            <w:pPr>
              <w:spacing w:line="260" w:lineRule="atLeast"/>
              <w:jc w:val="center"/>
              <w:rPr>
                <w:rFonts w:ascii="宋体" w:hAnsi="宋体" w:cs="宋体"/>
                <w:szCs w:val="24"/>
              </w:rPr>
            </w:pPr>
            <w:r>
              <w:rPr>
                <w:rFonts w:hint="eastAsia" w:ascii="宋体" w:hAnsi="宋体" w:cs="宋体"/>
                <w:szCs w:val="24"/>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4.1 理解组织及其环境</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4.2 理解相关方的需求和期望</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4.3 确定质量管理体系的范围</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4.4 质量管理体系及其过程</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5.1 领导作用和承诺</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5.2 质量方针</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5.3 组织的作用、职责和权限</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6.1 应对风险和机遇的措施</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6.2 质量目标及其实现的策划</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6.3 变更的策划</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7.1.1 资源  总则</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7.1.2 人员</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7.1.3基础设施</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tcPr>
          <w:p>
            <w:pPr>
              <w:spacing w:line="260" w:lineRule="atLeast"/>
              <w:jc w:val="center"/>
              <w:rPr>
                <w:rFonts w:ascii="宋体" w:hAnsi="宋体" w:cs="宋体"/>
                <w:szCs w:val="24"/>
              </w:rPr>
            </w:pP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tcPr>
          <w:p>
            <w:pPr>
              <w:spacing w:line="260" w:lineRule="atLeast"/>
              <w:jc w:val="center"/>
              <w:rPr>
                <w:rFonts w:ascii="宋体" w:hAnsi="宋体" w:cs="宋体"/>
                <w:szCs w:val="24"/>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7.1.4过程运行环境</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tcPr>
          <w:p>
            <w:pPr>
              <w:spacing w:line="260" w:lineRule="atLeast"/>
              <w:jc w:val="center"/>
              <w:rPr>
                <w:rFonts w:ascii="宋体" w:hAnsi="宋体" w:cs="宋体"/>
                <w:szCs w:val="24"/>
              </w:rPr>
            </w:pPr>
            <w:r>
              <w:rPr>
                <w:rFonts w:hint="eastAsia"/>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tcPr>
          <w:p>
            <w:pPr>
              <w:spacing w:line="260" w:lineRule="atLeast"/>
              <w:jc w:val="center"/>
              <w:rPr>
                <w:rFonts w:ascii="宋体" w:hAnsi="宋体" w:cs="宋体"/>
                <w:szCs w:val="24"/>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7.1.5监视和测量资源</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7.1.6组织知识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7.2 能力</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7.3 意识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7.4 沟通</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1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ascii="宋体" w:hAnsi="宋体" w:cs="宋体"/>
                <w:szCs w:val="24"/>
              </w:rPr>
            </w:pPr>
            <w:r>
              <w:rPr>
                <w:rFonts w:hint="eastAsia" w:ascii="宋体" w:hAnsi="宋体" w:cs="宋体"/>
                <w:szCs w:val="24"/>
              </w:rPr>
              <w:t>7.5形成文件的信息</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6"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c>
          <w:tcPr>
            <w:tcW w:w="113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cs="宋体"/>
                <w:szCs w:val="24"/>
              </w:rPr>
            </w:pPr>
            <w:r>
              <w:rPr>
                <w:rFonts w:hint="eastAsia" w:ascii="宋体" w:hAnsi="宋体" w:cs="宋体"/>
                <w:szCs w:val="24"/>
              </w:rPr>
              <w:t>☆</w:t>
            </w:r>
          </w:p>
        </w:tc>
      </w:tr>
    </w:tbl>
    <w:p>
      <w:pPr>
        <w:autoSpaceDE w:val="0"/>
        <w:autoSpaceDN w:val="0"/>
        <w:spacing w:before="264" w:line="500" w:lineRule="exact"/>
        <w:rPr>
          <w:rFonts w:ascii="宋体" w:hAnsi="宋体" w:cs="宋体"/>
          <w:b/>
          <w:bCs/>
          <w:sz w:val="36"/>
          <w:szCs w:val="36"/>
        </w:rPr>
      </w:pPr>
    </w:p>
    <w:p>
      <w:pPr>
        <w:autoSpaceDE w:val="0"/>
        <w:autoSpaceDN w:val="0"/>
        <w:spacing w:before="264" w:line="500" w:lineRule="exact"/>
        <w:rPr>
          <w:rFonts w:ascii="宋体" w:hAnsi="宋体" w:cs="宋体"/>
          <w:b/>
          <w:bCs/>
          <w:sz w:val="36"/>
          <w:szCs w:val="36"/>
        </w:rPr>
      </w:pPr>
    </w:p>
    <w:p>
      <w:pPr>
        <w:autoSpaceDE w:val="0"/>
        <w:autoSpaceDN w:val="0"/>
        <w:spacing w:before="264" w:line="500" w:lineRule="exact"/>
        <w:rPr>
          <w:rFonts w:ascii="宋体" w:hAnsi="宋体" w:cs="宋体"/>
          <w:b/>
          <w:bCs/>
          <w:sz w:val="36"/>
          <w:szCs w:val="36"/>
        </w:rPr>
      </w:pPr>
    </w:p>
    <w:p>
      <w:pPr>
        <w:autoSpaceDE w:val="0"/>
        <w:autoSpaceDN w:val="0"/>
        <w:spacing w:before="264" w:line="500" w:lineRule="exact"/>
        <w:jc w:val="both"/>
        <w:rPr>
          <w:rFonts w:ascii="宋体" w:hAnsi="宋体" w:cs="宋体"/>
          <w:b/>
          <w:bCs/>
          <w:sz w:val="28"/>
          <w:szCs w:val="28"/>
        </w:rPr>
      </w:pPr>
      <w:r>
        <w:rPr>
          <w:rFonts w:hint="eastAsia" w:ascii="宋体" w:hAnsi="宋体" w:cs="宋体"/>
          <w:b/>
          <w:bCs/>
          <w:sz w:val="28"/>
          <w:szCs w:val="28"/>
        </w:rPr>
        <w:t>质量管理体系职能分配表（续）</w:t>
      </w:r>
    </w:p>
    <w:tbl>
      <w:tblPr>
        <w:tblStyle w:val="17"/>
        <w:tblW w:w="864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993"/>
        <w:gridCol w:w="1134"/>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395"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260" w:lineRule="atLeast"/>
              <w:ind w:firstLine="2160" w:firstLineChars="900"/>
              <w:rPr>
                <w:szCs w:val="24"/>
              </w:rPr>
            </w:pPr>
            <w:r>
              <w:rPr>
                <w:rFonts w:hint="eastAsia"/>
                <w:szCs w:val="24"/>
              </w:rPr>
              <w:t>职能分配</w:t>
            </w:r>
          </w:p>
          <w:p>
            <w:pPr>
              <w:spacing w:line="260" w:lineRule="atLeast"/>
              <w:rPr>
                <w:szCs w:val="24"/>
              </w:rPr>
            </w:pPr>
            <w:r>
              <w:rPr>
                <w:rFonts w:hint="eastAsia"/>
                <w:szCs w:val="24"/>
              </w:rPr>
              <w:t>职能要素</w:t>
            </w:r>
          </w:p>
        </w:tc>
        <w:tc>
          <w:tcPr>
            <w:tcW w:w="993" w:type="dxa"/>
            <w:vAlign w:val="center"/>
          </w:tcPr>
          <w:p>
            <w:pPr>
              <w:spacing w:line="260" w:lineRule="atLeast"/>
              <w:jc w:val="center"/>
              <w:rPr>
                <w:rFonts w:ascii="Arial" w:hAnsi="Arial"/>
                <w:szCs w:val="24"/>
              </w:rPr>
            </w:pPr>
            <w:r>
              <w:rPr>
                <w:rFonts w:ascii="Arial" w:hAnsi="Arial"/>
                <w:szCs w:val="24"/>
              </w:rPr>
              <w:t>管理层</w:t>
            </w:r>
          </w:p>
        </w:tc>
        <w:tc>
          <w:tcPr>
            <w:tcW w:w="1134" w:type="dxa"/>
            <w:vAlign w:val="center"/>
          </w:tcPr>
          <w:p>
            <w:pPr>
              <w:spacing w:line="260" w:lineRule="atLeast"/>
              <w:jc w:val="center"/>
              <w:rPr>
                <w:rFonts w:ascii="Arial" w:hAnsi="Arial"/>
                <w:szCs w:val="24"/>
              </w:rPr>
            </w:pPr>
            <w:r>
              <w:rPr>
                <w:rFonts w:hint="eastAsia" w:ascii="Arial" w:hAnsi="Arial"/>
                <w:szCs w:val="24"/>
              </w:rPr>
              <w:t>办公室</w:t>
            </w:r>
          </w:p>
        </w:tc>
        <w:tc>
          <w:tcPr>
            <w:tcW w:w="992" w:type="dxa"/>
            <w:vAlign w:val="center"/>
          </w:tcPr>
          <w:p>
            <w:pPr>
              <w:spacing w:line="260" w:lineRule="atLeast"/>
              <w:jc w:val="center"/>
              <w:rPr>
                <w:rFonts w:ascii="Arial" w:hAnsi="Arial"/>
                <w:szCs w:val="24"/>
              </w:rPr>
            </w:pPr>
            <w:r>
              <w:rPr>
                <w:rFonts w:hint="eastAsia" w:ascii="Arial" w:hAnsi="Arial"/>
                <w:szCs w:val="24"/>
              </w:rPr>
              <w:t>供销部</w:t>
            </w:r>
          </w:p>
        </w:tc>
        <w:tc>
          <w:tcPr>
            <w:tcW w:w="1134" w:type="dxa"/>
            <w:vAlign w:val="center"/>
          </w:tcPr>
          <w:p>
            <w:pPr>
              <w:spacing w:line="260" w:lineRule="atLeast"/>
              <w:jc w:val="center"/>
              <w:rPr>
                <w:rFonts w:ascii="Arial" w:hAnsi="Arial"/>
                <w:szCs w:val="24"/>
              </w:rPr>
            </w:pPr>
            <w:r>
              <w:rPr>
                <w:rFonts w:hint="eastAsia" w:ascii="Arial" w:hAnsi="Arial"/>
                <w:szCs w:val="24"/>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8.1运行策划和控制</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8.2产品和服务的要求</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8.3产品和服务的设计开发（不适用）</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8.4外部提供过程、产品和服务的控制</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8.5.1服务和服务提供</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8.5.2标识和可追溯性</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8.5.3顾客或外部供方的财产</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8.5.4防护</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8.5.5交付后活动</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8.5.6变更的控制</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8.6 产品和服务的放行</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8.7 不合格输出的控制</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9.1.1监视、测量、分析和评价总则</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9.1.2顾客满意</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9.1.3分析与评价</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9.2 内部审核审核</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9.3 管理评审</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10.1改进 总则</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10.2不合格与纠正措施</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95"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szCs w:val="24"/>
              </w:rPr>
              <w:t>10.3改进</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szCs w:val="24"/>
              </w:rPr>
            </w:pPr>
            <w:r>
              <w:rPr>
                <w:rFonts w:ascii="宋体" w:hAnsi="宋体"/>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szCs w:val="24"/>
              </w:rPr>
            </w:pPr>
            <w:r>
              <w:rPr>
                <w:rFonts w:ascii="宋体" w:hAnsi="宋体"/>
                <w:szCs w:val="24"/>
              </w:rPr>
              <w:t>☆</w:t>
            </w:r>
          </w:p>
        </w:tc>
      </w:tr>
    </w:tbl>
    <w:p>
      <w:pPr>
        <w:jc w:val="both"/>
        <w:rPr>
          <w:rFonts w:ascii="宋体" w:hAnsi="宋体"/>
          <w:b/>
          <w:sz w:val="30"/>
          <w:szCs w:val="30"/>
        </w:rPr>
        <w:sectPr>
          <w:headerReference r:id="rId3" w:type="default"/>
          <w:pgSz w:w="11905" w:h="16837"/>
          <w:pgMar w:top="1440" w:right="1800" w:bottom="1440" w:left="1800" w:header="142" w:footer="567" w:gutter="0"/>
          <w:pgNumType w:start="1"/>
          <w:cols w:space="720" w:num="1"/>
        </w:sectPr>
      </w:pPr>
    </w:p>
    <w:p>
      <w:pPr>
        <w:tabs>
          <w:tab w:val="left" w:pos="900"/>
        </w:tabs>
        <w:spacing w:line="360" w:lineRule="auto"/>
        <w:rPr>
          <w:b/>
          <w:sz w:val="28"/>
          <w:szCs w:val="28"/>
        </w:rPr>
      </w:pPr>
      <w:r>
        <w:rPr>
          <w:rFonts w:hint="eastAsia"/>
          <w:b/>
          <w:sz w:val="28"/>
          <w:szCs w:val="28"/>
        </w:rPr>
        <w:t>附件三：光电材料、半导体、光伏电子产业的</w:t>
      </w:r>
      <w:r>
        <w:rPr>
          <w:rFonts w:hint="eastAsia"/>
          <w:b/>
          <w:sz w:val="28"/>
          <w:szCs w:val="28"/>
          <w:lang w:val="en-US" w:eastAsia="zh-CN"/>
        </w:rPr>
        <w:t>设备维修</w:t>
      </w:r>
      <w:r>
        <w:rPr>
          <w:rFonts w:hint="eastAsia"/>
          <w:b/>
          <w:sz w:val="28"/>
          <w:szCs w:val="28"/>
        </w:rPr>
        <w:t>：</w:t>
      </w:r>
    </w:p>
    <w:p>
      <w:pPr>
        <w:spacing w:line="360" w:lineRule="auto"/>
        <w:rPr>
          <w:b/>
          <w:sz w:val="28"/>
          <w:szCs w:val="28"/>
        </w:rPr>
      </w:pPr>
      <w:r>
        <w:rPr>
          <w:rFonts w:hint="eastAsia"/>
          <w:b/>
          <w:sz w:val="28"/>
          <w:szCs w:val="28"/>
          <w:lang w:val="en-US" w:eastAsia="zh-CN"/>
        </w:rPr>
        <w:t>维修产品入场检验</w:t>
      </w:r>
      <w:r>
        <w:rPr>
          <w:rFonts w:hint="eastAsia"/>
          <w:b/>
          <w:sz w:val="28"/>
          <w:szCs w:val="28"/>
        </w:rPr>
        <w:t>--问题确认--维修（工件拆解</w:t>
      </w:r>
      <w:r>
        <w:rPr>
          <w:rFonts w:hint="eastAsia"/>
          <w:b/>
          <w:sz w:val="28"/>
          <w:szCs w:val="28"/>
          <w:lang w:val="en-US" w:eastAsia="zh-CN"/>
        </w:rPr>
        <w:t>-</w:t>
      </w:r>
      <w:r>
        <w:rPr>
          <w:rFonts w:hint="eastAsia"/>
          <w:b/>
          <w:sz w:val="28"/>
          <w:szCs w:val="28"/>
        </w:rPr>
        <w:t>化学及物理去膜</w:t>
      </w:r>
      <w:r>
        <w:rPr>
          <w:rFonts w:hint="eastAsia"/>
          <w:b/>
          <w:sz w:val="28"/>
          <w:szCs w:val="28"/>
          <w:lang w:val="en-US" w:eastAsia="zh-CN"/>
        </w:rPr>
        <w:t>-</w:t>
      </w:r>
      <w:r>
        <w:rPr>
          <w:rFonts w:hint="eastAsia"/>
          <w:b/>
          <w:sz w:val="28"/>
          <w:szCs w:val="28"/>
        </w:rPr>
        <w:t>整形</w:t>
      </w:r>
      <w:r>
        <w:rPr>
          <w:rFonts w:hint="eastAsia"/>
          <w:b/>
          <w:sz w:val="28"/>
          <w:szCs w:val="28"/>
          <w:lang w:val="en-US" w:eastAsia="zh-CN"/>
        </w:rPr>
        <w:t>/焊接-</w:t>
      </w:r>
      <w:r>
        <w:rPr>
          <w:rFonts w:hint="eastAsia"/>
          <w:b/>
          <w:sz w:val="28"/>
          <w:szCs w:val="28"/>
        </w:rPr>
        <w:t>熔射</w:t>
      </w:r>
      <w:r>
        <w:rPr>
          <w:rFonts w:hint="eastAsia"/>
          <w:b/>
          <w:sz w:val="28"/>
          <w:szCs w:val="28"/>
          <w:lang w:val="en-US" w:eastAsia="zh-CN"/>
        </w:rPr>
        <w:t>-</w:t>
      </w:r>
      <w:r>
        <w:rPr>
          <w:rFonts w:hint="eastAsia"/>
          <w:b/>
          <w:sz w:val="28"/>
          <w:szCs w:val="28"/>
        </w:rPr>
        <w:t>喷砂</w:t>
      </w:r>
      <w:r>
        <w:rPr>
          <w:rFonts w:hint="eastAsia"/>
          <w:b/>
          <w:sz w:val="28"/>
          <w:szCs w:val="28"/>
          <w:lang w:val="en-US" w:eastAsia="zh-CN"/>
        </w:rPr>
        <w:t>-</w:t>
      </w:r>
      <w:r>
        <w:rPr>
          <w:rFonts w:hint="eastAsia"/>
          <w:b/>
          <w:sz w:val="28"/>
          <w:szCs w:val="28"/>
        </w:rPr>
        <w:t>洗净</w:t>
      </w:r>
      <w:r>
        <w:rPr>
          <w:rFonts w:hint="eastAsia"/>
          <w:b/>
          <w:sz w:val="28"/>
          <w:szCs w:val="28"/>
          <w:lang w:val="en-US" w:eastAsia="zh-CN"/>
        </w:rPr>
        <w:t>-</w:t>
      </w:r>
      <w:r>
        <w:rPr>
          <w:rFonts w:hint="eastAsia"/>
          <w:b/>
          <w:sz w:val="28"/>
          <w:szCs w:val="28"/>
        </w:rPr>
        <w:t>包装）--检验--出厂</w:t>
      </w:r>
    </w:p>
    <w:p>
      <w:pPr>
        <w:spacing w:line="360" w:lineRule="auto"/>
        <w:rPr>
          <w:szCs w:val="24"/>
        </w:rPr>
      </w:pPr>
    </w:p>
    <w:sectPr>
      <w:headerReference r:id="rId4" w:type="default"/>
      <w:pgSz w:w="11906" w:h="16838"/>
      <w:pgMar w:top="1440" w:right="1106" w:bottom="851" w:left="1440" w:header="426"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rPr>
        <w:rFonts w:ascii="方正舒体" w:eastAsia="方正舒体"/>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0637B"/>
    <w:multiLevelType w:val="singleLevel"/>
    <w:tmpl w:val="C590637B"/>
    <w:lvl w:ilvl="0" w:tentative="0">
      <w:start w:val="1"/>
      <w:numFmt w:val="decimal"/>
      <w:lvlText w:val="%1)"/>
      <w:lvlJc w:val="left"/>
      <w:pPr>
        <w:tabs>
          <w:tab w:val="left" w:pos="312"/>
        </w:tabs>
      </w:pPr>
    </w:lvl>
  </w:abstractNum>
  <w:abstractNum w:abstractNumId="1">
    <w:nsid w:val="08CD4BA2"/>
    <w:multiLevelType w:val="multilevel"/>
    <w:tmpl w:val="08CD4BA2"/>
    <w:lvl w:ilvl="0" w:tentative="0">
      <w:start w:val="1"/>
      <w:numFmt w:val="lowerLetter"/>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10002F"/>
    <w:multiLevelType w:val="multilevel"/>
    <w:tmpl w:val="0C10002F"/>
    <w:lvl w:ilvl="0" w:tentative="0">
      <w:start w:val="1"/>
      <w:numFmt w:val="low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23367FE6"/>
    <w:multiLevelType w:val="multilevel"/>
    <w:tmpl w:val="23367FE6"/>
    <w:lvl w:ilvl="0" w:tentative="0">
      <w:start w:val="1"/>
      <w:numFmt w:val="lowerLetter"/>
      <w:lvlText w:val="%1）"/>
      <w:lvlJc w:val="left"/>
      <w:pPr>
        <w:ind w:left="1201" w:hanging="360"/>
      </w:pPr>
      <w:rPr>
        <w:rFonts w:hint="default"/>
      </w:rPr>
    </w:lvl>
    <w:lvl w:ilvl="1" w:tentative="0">
      <w:start w:val="1"/>
      <w:numFmt w:val="lowerLetter"/>
      <w:lvlText w:val="%2)"/>
      <w:lvlJc w:val="left"/>
      <w:pPr>
        <w:ind w:left="1681" w:hanging="420"/>
      </w:pPr>
    </w:lvl>
    <w:lvl w:ilvl="2" w:tentative="0">
      <w:start w:val="1"/>
      <w:numFmt w:val="lowerRoman"/>
      <w:lvlText w:val="%3."/>
      <w:lvlJc w:val="right"/>
      <w:pPr>
        <w:ind w:left="2101" w:hanging="420"/>
      </w:pPr>
    </w:lvl>
    <w:lvl w:ilvl="3" w:tentative="0">
      <w:start w:val="1"/>
      <w:numFmt w:val="decimal"/>
      <w:lvlText w:val="%4."/>
      <w:lvlJc w:val="left"/>
      <w:pPr>
        <w:ind w:left="2521" w:hanging="420"/>
      </w:pPr>
    </w:lvl>
    <w:lvl w:ilvl="4" w:tentative="0">
      <w:start w:val="1"/>
      <w:numFmt w:val="lowerLetter"/>
      <w:lvlText w:val="%5)"/>
      <w:lvlJc w:val="left"/>
      <w:pPr>
        <w:ind w:left="2941" w:hanging="420"/>
      </w:pPr>
    </w:lvl>
    <w:lvl w:ilvl="5" w:tentative="0">
      <w:start w:val="1"/>
      <w:numFmt w:val="lowerRoman"/>
      <w:lvlText w:val="%6."/>
      <w:lvlJc w:val="right"/>
      <w:pPr>
        <w:ind w:left="3361" w:hanging="420"/>
      </w:pPr>
    </w:lvl>
    <w:lvl w:ilvl="6" w:tentative="0">
      <w:start w:val="1"/>
      <w:numFmt w:val="decimal"/>
      <w:lvlText w:val="%7."/>
      <w:lvlJc w:val="left"/>
      <w:pPr>
        <w:ind w:left="3781" w:hanging="420"/>
      </w:pPr>
    </w:lvl>
    <w:lvl w:ilvl="7" w:tentative="0">
      <w:start w:val="1"/>
      <w:numFmt w:val="lowerLetter"/>
      <w:lvlText w:val="%8)"/>
      <w:lvlJc w:val="left"/>
      <w:pPr>
        <w:ind w:left="4201" w:hanging="420"/>
      </w:pPr>
    </w:lvl>
    <w:lvl w:ilvl="8" w:tentative="0">
      <w:start w:val="1"/>
      <w:numFmt w:val="lowerRoman"/>
      <w:lvlText w:val="%9."/>
      <w:lvlJc w:val="right"/>
      <w:pPr>
        <w:ind w:left="4621" w:hanging="420"/>
      </w:pPr>
    </w:lvl>
  </w:abstractNum>
  <w:abstractNum w:abstractNumId="4">
    <w:nsid w:val="247F6242"/>
    <w:multiLevelType w:val="multilevel"/>
    <w:tmpl w:val="247F6242"/>
    <w:lvl w:ilvl="0" w:tentative="0">
      <w:start w:val="1"/>
      <w:numFmt w:val="lowerLetter"/>
      <w:lvlText w:val="%1)"/>
      <w:lvlJc w:val="left"/>
      <w:pPr>
        <w:tabs>
          <w:tab w:val="left" w:pos="420"/>
        </w:tabs>
        <w:ind w:left="420" w:hanging="420"/>
      </w:pPr>
      <w:rPr>
        <w:rFonts w:hint="default"/>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DC05E1B"/>
    <w:multiLevelType w:val="multilevel"/>
    <w:tmpl w:val="2DC05E1B"/>
    <w:lvl w:ilvl="0" w:tentative="0">
      <w:start w:val="1"/>
      <w:numFmt w:val="lowerLetter"/>
      <w:lvlText w:val="%1)"/>
      <w:lvlJc w:val="left"/>
      <w:pPr>
        <w:ind w:left="1969" w:hanging="12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41397C53"/>
    <w:multiLevelType w:val="multilevel"/>
    <w:tmpl w:val="41397C5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690804"/>
    <w:multiLevelType w:val="multilevel"/>
    <w:tmpl w:val="41690804"/>
    <w:lvl w:ilvl="0" w:tentative="0">
      <w:start w:val="1"/>
      <w:numFmt w:val="lowerLetter"/>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8">
    <w:nsid w:val="487750FC"/>
    <w:multiLevelType w:val="multilevel"/>
    <w:tmpl w:val="487750FC"/>
    <w:lvl w:ilvl="0" w:tentative="0">
      <w:start w:val="1"/>
      <w:numFmt w:val="decimal"/>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9">
    <w:nsid w:val="51FD0CAC"/>
    <w:multiLevelType w:val="singleLevel"/>
    <w:tmpl w:val="51FD0CAC"/>
    <w:lvl w:ilvl="0" w:tentative="0">
      <w:start w:val="1"/>
      <w:numFmt w:val="lowerLetter"/>
      <w:lvlText w:val="%1)"/>
      <w:legacy w:legacy="1" w:legacySpace="0" w:legacyIndent="360"/>
      <w:lvlJc w:val="left"/>
      <w:rPr>
        <w:rFonts w:hint="default" w:ascii="Times New Roman" w:hAnsi="Times New Roman"/>
      </w:rPr>
    </w:lvl>
  </w:abstractNum>
  <w:abstractNum w:abstractNumId="10">
    <w:nsid w:val="54C54467"/>
    <w:multiLevelType w:val="multilevel"/>
    <w:tmpl w:val="54C54467"/>
    <w:lvl w:ilvl="0" w:tentative="0">
      <w:start w:val="1"/>
      <w:numFmt w:val="lowerLetter"/>
      <w:lvlText w:val="%1)"/>
      <w:lvlJc w:val="left"/>
      <w:pPr>
        <w:ind w:left="705" w:hanging="360"/>
      </w:pPr>
      <w:rPr>
        <w:rFonts w:hint="default"/>
      </w:r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abstractNum w:abstractNumId="11">
    <w:nsid w:val="551E253C"/>
    <w:multiLevelType w:val="multilevel"/>
    <w:tmpl w:val="551E253C"/>
    <w:lvl w:ilvl="0" w:tentative="0">
      <w:start w:val="1"/>
      <w:numFmt w:val="lowerLetter"/>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2">
    <w:nsid w:val="55ED26B1"/>
    <w:multiLevelType w:val="singleLevel"/>
    <w:tmpl w:val="55ED26B1"/>
    <w:lvl w:ilvl="0" w:tentative="0">
      <w:start w:val="1"/>
      <w:numFmt w:val="lowerLetter"/>
      <w:suff w:val="space"/>
      <w:lvlText w:val="%1)"/>
      <w:lvlJc w:val="left"/>
    </w:lvl>
  </w:abstractNum>
  <w:abstractNum w:abstractNumId="13">
    <w:nsid w:val="63267339"/>
    <w:multiLevelType w:val="multilevel"/>
    <w:tmpl w:val="632673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893373"/>
    <w:multiLevelType w:val="multilevel"/>
    <w:tmpl w:val="678933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993730D"/>
    <w:multiLevelType w:val="multilevel"/>
    <w:tmpl w:val="6993730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CB2D5B"/>
    <w:multiLevelType w:val="multilevel"/>
    <w:tmpl w:val="72CB2D5B"/>
    <w:lvl w:ilvl="0" w:tentative="0">
      <w:start w:val="1"/>
      <w:numFmt w:val="lowerLetter"/>
      <w:lvlText w:val="%1)"/>
      <w:lvlJc w:val="left"/>
      <w:pPr>
        <w:ind w:left="585" w:hanging="36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17">
    <w:nsid w:val="730D1894"/>
    <w:multiLevelType w:val="multilevel"/>
    <w:tmpl w:val="730D1894"/>
    <w:lvl w:ilvl="0" w:tentative="0">
      <w:start w:val="1"/>
      <w:numFmt w:val="lowerLetter"/>
      <w:lvlText w:val="%1)"/>
      <w:lvlJc w:val="left"/>
      <w:pPr>
        <w:tabs>
          <w:tab w:val="left" w:pos="786"/>
        </w:tabs>
        <w:ind w:left="786" w:hanging="360"/>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8">
    <w:nsid w:val="76723AF6"/>
    <w:multiLevelType w:val="multilevel"/>
    <w:tmpl w:val="76723AF6"/>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7B3275C2"/>
    <w:multiLevelType w:val="multilevel"/>
    <w:tmpl w:val="7B3275C2"/>
    <w:lvl w:ilvl="0" w:tentative="0">
      <w:start w:val="1"/>
      <w:numFmt w:val="decimal"/>
      <w:lvlText w:val="%1）"/>
      <w:lvlJc w:val="left"/>
      <w:pPr>
        <w:ind w:left="585" w:hanging="36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num w:numId="1">
    <w:abstractNumId w:val="14"/>
  </w:num>
  <w:num w:numId="2">
    <w:abstractNumId w:val="13"/>
  </w:num>
  <w:num w:numId="3">
    <w:abstractNumId w:val="0"/>
  </w:num>
  <w:num w:numId="4">
    <w:abstractNumId w:val="5"/>
  </w:num>
  <w:num w:numId="5">
    <w:abstractNumId w:val="4"/>
  </w:num>
  <w:num w:numId="6">
    <w:abstractNumId w:val="3"/>
  </w:num>
  <w:num w:numId="7">
    <w:abstractNumId w:val="11"/>
  </w:num>
  <w:num w:numId="8">
    <w:abstractNumId w:val="15"/>
  </w:num>
  <w:num w:numId="9">
    <w:abstractNumId w:val="2"/>
  </w:num>
  <w:num w:numId="10">
    <w:abstractNumId w:val="9"/>
  </w:num>
  <w:num w:numId="11">
    <w:abstractNumId w:val="9"/>
    <w:lvlOverride w:ilvl="0">
      <w:lvl w:ilvl="0" w:tentative="1">
        <w:start w:val="4"/>
        <w:numFmt w:val="lowerLetter"/>
        <w:lvlText w:val="%1)"/>
        <w:legacy w:legacy="1" w:legacySpace="0" w:legacyIndent="360"/>
        <w:lvlJc w:val="left"/>
        <w:rPr>
          <w:rFonts w:hint="default" w:ascii="Times New Roman" w:hAnsi="Times New Roman"/>
        </w:rPr>
      </w:lvl>
    </w:lvlOverride>
  </w:num>
  <w:num w:numId="12">
    <w:abstractNumId w:val="1"/>
  </w:num>
  <w:num w:numId="13">
    <w:abstractNumId w:val="6"/>
  </w:num>
  <w:num w:numId="14">
    <w:abstractNumId w:val="19"/>
  </w:num>
  <w:num w:numId="15">
    <w:abstractNumId w:val="7"/>
  </w:num>
  <w:num w:numId="16">
    <w:abstractNumId w:val="18"/>
  </w:num>
  <w:num w:numId="17">
    <w:abstractNumId w:val="17"/>
  </w:num>
  <w:num w:numId="18">
    <w:abstractNumId w:val="12"/>
  </w:num>
  <w:num w:numId="19">
    <w:abstractNumId w:val="1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doNotHyphenateCaps/>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65D9"/>
    <w:rsid w:val="00000715"/>
    <w:rsid w:val="000018F7"/>
    <w:rsid w:val="00003A16"/>
    <w:rsid w:val="00003E6A"/>
    <w:rsid w:val="0000459C"/>
    <w:rsid w:val="00005A8E"/>
    <w:rsid w:val="00006FB2"/>
    <w:rsid w:val="00013B59"/>
    <w:rsid w:val="00013D4B"/>
    <w:rsid w:val="00022626"/>
    <w:rsid w:val="00024DB2"/>
    <w:rsid w:val="00026744"/>
    <w:rsid w:val="0003120A"/>
    <w:rsid w:val="0003485F"/>
    <w:rsid w:val="00035169"/>
    <w:rsid w:val="000406BC"/>
    <w:rsid w:val="00041AE5"/>
    <w:rsid w:val="00041FCA"/>
    <w:rsid w:val="0004464C"/>
    <w:rsid w:val="00045D30"/>
    <w:rsid w:val="000461A7"/>
    <w:rsid w:val="0004710E"/>
    <w:rsid w:val="00050159"/>
    <w:rsid w:val="000506D5"/>
    <w:rsid w:val="00050F47"/>
    <w:rsid w:val="000512D1"/>
    <w:rsid w:val="000539D3"/>
    <w:rsid w:val="000546BB"/>
    <w:rsid w:val="00055F31"/>
    <w:rsid w:val="00061188"/>
    <w:rsid w:val="000611E3"/>
    <w:rsid w:val="00064622"/>
    <w:rsid w:val="000654F4"/>
    <w:rsid w:val="00066DFA"/>
    <w:rsid w:val="00071A28"/>
    <w:rsid w:val="00073AAD"/>
    <w:rsid w:val="00077658"/>
    <w:rsid w:val="00080BD6"/>
    <w:rsid w:val="00080FD8"/>
    <w:rsid w:val="000810A6"/>
    <w:rsid w:val="000826AD"/>
    <w:rsid w:val="0008381B"/>
    <w:rsid w:val="00084FEA"/>
    <w:rsid w:val="0008639F"/>
    <w:rsid w:val="0009210F"/>
    <w:rsid w:val="0009363E"/>
    <w:rsid w:val="00096579"/>
    <w:rsid w:val="0009728A"/>
    <w:rsid w:val="00097D8F"/>
    <w:rsid w:val="000A225D"/>
    <w:rsid w:val="000A4603"/>
    <w:rsid w:val="000A6A26"/>
    <w:rsid w:val="000B1DAE"/>
    <w:rsid w:val="000B2BB0"/>
    <w:rsid w:val="000B2D6F"/>
    <w:rsid w:val="000B517A"/>
    <w:rsid w:val="000B531C"/>
    <w:rsid w:val="000B68B0"/>
    <w:rsid w:val="000C1867"/>
    <w:rsid w:val="000C1F96"/>
    <w:rsid w:val="000C489F"/>
    <w:rsid w:val="000C7DE9"/>
    <w:rsid w:val="000D1DAC"/>
    <w:rsid w:val="000D2FF0"/>
    <w:rsid w:val="000D50A9"/>
    <w:rsid w:val="000E1CBC"/>
    <w:rsid w:val="000E347F"/>
    <w:rsid w:val="000E5BEE"/>
    <w:rsid w:val="000E6C98"/>
    <w:rsid w:val="000E78BF"/>
    <w:rsid w:val="000E7BA6"/>
    <w:rsid w:val="000F30F0"/>
    <w:rsid w:val="000F368F"/>
    <w:rsid w:val="000F7220"/>
    <w:rsid w:val="000F7ED0"/>
    <w:rsid w:val="00100D57"/>
    <w:rsid w:val="00103749"/>
    <w:rsid w:val="00104BCD"/>
    <w:rsid w:val="001068AE"/>
    <w:rsid w:val="00110158"/>
    <w:rsid w:val="001107A9"/>
    <w:rsid w:val="00114408"/>
    <w:rsid w:val="001150DB"/>
    <w:rsid w:val="001167B1"/>
    <w:rsid w:val="001167BB"/>
    <w:rsid w:val="00116E40"/>
    <w:rsid w:val="00122047"/>
    <w:rsid w:val="00124580"/>
    <w:rsid w:val="00125789"/>
    <w:rsid w:val="00125A77"/>
    <w:rsid w:val="00125A7C"/>
    <w:rsid w:val="00126A0A"/>
    <w:rsid w:val="00131377"/>
    <w:rsid w:val="001348BD"/>
    <w:rsid w:val="00140517"/>
    <w:rsid w:val="001408AE"/>
    <w:rsid w:val="00142B67"/>
    <w:rsid w:val="001443A3"/>
    <w:rsid w:val="00153232"/>
    <w:rsid w:val="00153BD4"/>
    <w:rsid w:val="00153EAE"/>
    <w:rsid w:val="0015441D"/>
    <w:rsid w:val="00155C86"/>
    <w:rsid w:val="00157BFA"/>
    <w:rsid w:val="00160051"/>
    <w:rsid w:val="0016282B"/>
    <w:rsid w:val="00163638"/>
    <w:rsid w:val="00163C8C"/>
    <w:rsid w:val="00164027"/>
    <w:rsid w:val="001642D0"/>
    <w:rsid w:val="00171347"/>
    <w:rsid w:val="00172D53"/>
    <w:rsid w:val="00172DF7"/>
    <w:rsid w:val="001748FA"/>
    <w:rsid w:val="0017527F"/>
    <w:rsid w:val="00176379"/>
    <w:rsid w:val="001805B0"/>
    <w:rsid w:val="001813D8"/>
    <w:rsid w:val="00187240"/>
    <w:rsid w:val="00191AF9"/>
    <w:rsid w:val="001921C6"/>
    <w:rsid w:val="0019230B"/>
    <w:rsid w:val="001978C9"/>
    <w:rsid w:val="001A126E"/>
    <w:rsid w:val="001A183E"/>
    <w:rsid w:val="001A3CC5"/>
    <w:rsid w:val="001A57A7"/>
    <w:rsid w:val="001A6104"/>
    <w:rsid w:val="001A6508"/>
    <w:rsid w:val="001B1ABB"/>
    <w:rsid w:val="001B4188"/>
    <w:rsid w:val="001B5857"/>
    <w:rsid w:val="001B78CE"/>
    <w:rsid w:val="001C1BDA"/>
    <w:rsid w:val="001C1C14"/>
    <w:rsid w:val="001C5CFC"/>
    <w:rsid w:val="001C5DAC"/>
    <w:rsid w:val="001C7248"/>
    <w:rsid w:val="001C7522"/>
    <w:rsid w:val="001D0F64"/>
    <w:rsid w:val="001D6F41"/>
    <w:rsid w:val="001E55D5"/>
    <w:rsid w:val="001F0645"/>
    <w:rsid w:val="001F3737"/>
    <w:rsid w:val="001F46CA"/>
    <w:rsid w:val="00204364"/>
    <w:rsid w:val="0020734A"/>
    <w:rsid w:val="00207922"/>
    <w:rsid w:val="0020795E"/>
    <w:rsid w:val="002111AC"/>
    <w:rsid w:val="0021136A"/>
    <w:rsid w:val="00212416"/>
    <w:rsid w:val="00212DFF"/>
    <w:rsid w:val="00215392"/>
    <w:rsid w:val="002220CC"/>
    <w:rsid w:val="00224824"/>
    <w:rsid w:val="00224839"/>
    <w:rsid w:val="002262CA"/>
    <w:rsid w:val="0022698E"/>
    <w:rsid w:val="00226F68"/>
    <w:rsid w:val="00230D52"/>
    <w:rsid w:val="002350A5"/>
    <w:rsid w:val="0023763C"/>
    <w:rsid w:val="00242924"/>
    <w:rsid w:val="00244D66"/>
    <w:rsid w:val="002451AF"/>
    <w:rsid w:val="00246F30"/>
    <w:rsid w:val="00247EBA"/>
    <w:rsid w:val="00250AF6"/>
    <w:rsid w:val="00251E5A"/>
    <w:rsid w:val="002529E4"/>
    <w:rsid w:val="00253BC8"/>
    <w:rsid w:val="0025435C"/>
    <w:rsid w:val="002564FC"/>
    <w:rsid w:val="002575F7"/>
    <w:rsid w:val="0026060F"/>
    <w:rsid w:val="002611C6"/>
    <w:rsid w:val="00261307"/>
    <w:rsid w:val="00266AC0"/>
    <w:rsid w:val="00274043"/>
    <w:rsid w:val="00283186"/>
    <w:rsid w:val="002834FB"/>
    <w:rsid w:val="00283AD4"/>
    <w:rsid w:val="00283DE3"/>
    <w:rsid w:val="002841F2"/>
    <w:rsid w:val="0028562A"/>
    <w:rsid w:val="0028661A"/>
    <w:rsid w:val="00287B12"/>
    <w:rsid w:val="0029444D"/>
    <w:rsid w:val="0029516F"/>
    <w:rsid w:val="002A20CB"/>
    <w:rsid w:val="002A77B3"/>
    <w:rsid w:val="002B24B1"/>
    <w:rsid w:val="002B3527"/>
    <w:rsid w:val="002B3C96"/>
    <w:rsid w:val="002B4894"/>
    <w:rsid w:val="002B4E9C"/>
    <w:rsid w:val="002B5469"/>
    <w:rsid w:val="002C1BEC"/>
    <w:rsid w:val="002C4012"/>
    <w:rsid w:val="002C737E"/>
    <w:rsid w:val="002D19A3"/>
    <w:rsid w:val="002D21DA"/>
    <w:rsid w:val="002D2D02"/>
    <w:rsid w:val="002D3AFE"/>
    <w:rsid w:val="002D3CED"/>
    <w:rsid w:val="002E0EEC"/>
    <w:rsid w:val="002E1626"/>
    <w:rsid w:val="002E36D6"/>
    <w:rsid w:val="002E486F"/>
    <w:rsid w:val="002E50FD"/>
    <w:rsid w:val="002E5AD9"/>
    <w:rsid w:val="002E65D9"/>
    <w:rsid w:val="002E7682"/>
    <w:rsid w:val="002E7F77"/>
    <w:rsid w:val="002F0D5D"/>
    <w:rsid w:val="002F6B22"/>
    <w:rsid w:val="002F7CDA"/>
    <w:rsid w:val="0030119E"/>
    <w:rsid w:val="00301D9F"/>
    <w:rsid w:val="00302AA9"/>
    <w:rsid w:val="003050F3"/>
    <w:rsid w:val="00305B26"/>
    <w:rsid w:val="003107C7"/>
    <w:rsid w:val="00310C36"/>
    <w:rsid w:val="00311716"/>
    <w:rsid w:val="00313FF3"/>
    <w:rsid w:val="00317449"/>
    <w:rsid w:val="00320A4E"/>
    <w:rsid w:val="003219AE"/>
    <w:rsid w:val="003236D2"/>
    <w:rsid w:val="00323DD9"/>
    <w:rsid w:val="00325F47"/>
    <w:rsid w:val="003264F1"/>
    <w:rsid w:val="00327060"/>
    <w:rsid w:val="00327619"/>
    <w:rsid w:val="003276FA"/>
    <w:rsid w:val="003351B9"/>
    <w:rsid w:val="003364B2"/>
    <w:rsid w:val="00341429"/>
    <w:rsid w:val="003441F3"/>
    <w:rsid w:val="003471CF"/>
    <w:rsid w:val="00347F66"/>
    <w:rsid w:val="00350C27"/>
    <w:rsid w:val="003510CF"/>
    <w:rsid w:val="00354EB1"/>
    <w:rsid w:val="00366B96"/>
    <w:rsid w:val="00371943"/>
    <w:rsid w:val="00371C2B"/>
    <w:rsid w:val="0037212E"/>
    <w:rsid w:val="0037295E"/>
    <w:rsid w:val="00373F9F"/>
    <w:rsid w:val="003803E8"/>
    <w:rsid w:val="00380D0B"/>
    <w:rsid w:val="00381497"/>
    <w:rsid w:val="003821BF"/>
    <w:rsid w:val="00382806"/>
    <w:rsid w:val="00382D6A"/>
    <w:rsid w:val="00387C77"/>
    <w:rsid w:val="00394870"/>
    <w:rsid w:val="00396527"/>
    <w:rsid w:val="0039685A"/>
    <w:rsid w:val="003A02B0"/>
    <w:rsid w:val="003A1D16"/>
    <w:rsid w:val="003B1CB1"/>
    <w:rsid w:val="003C06A5"/>
    <w:rsid w:val="003C1DF1"/>
    <w:rsid w:val="003C2D63"/>
    <w:rsid w:val="003C32AA"/>
    <w:rsid w:val="003C5724"/>
    <w:rsid w:val="003C6922"/>
    <w:rsid w:val="003D23A5"/>
    <w:rsid w:val="003D68F7"/>
    <w:rsid w:val="003D75D1"/>
    <w:rsid w:val="003E13BC"/>
    <w:rsid w:val="003E1EB9"/>
    <w:rsid w:val="003E3AAE"/>
    <w:rsid w:val="003E4E2C"/>
    <w:rsid w:val="003E5991"/>
    <w:rsid w:val="003E6D0A"/>
    <w:rsid w:val="003F2C97"/>
    <w:rsid w:val="00400790"/>
    <w:rsid w:val="00400C55"/>
    <w:rsid w:val="004022FF"/>
    <w:rsid w:val="00402775"/>
    <w:rsid w:val="00403CB7"/>
    <w:rsid w:val="00404C8B"/>
    <w:rsid w:val="004073BA"/>
    <w:rsid w:val="00407682"/>
    <w:rsid w:val="00410338"/>
    <w:rsid w:val="00411A7B"/>
    <w:rsid w:val="00413D2C"/>
    <w:rsid w:val="004146D8"/>
    <w:rsid w:val="00414F35"/>
    <w:rsid w:val="004172DF"/>
    <w:rsid w:val="00421100"/>
    <w:rsid w:val="0042370F"/>
    <w:rsid w:val="00423AF7"/>
    <w:rsid w:val="00425BF7"/>
    <w:rsid w:val="00431590"/>
    <w:rsid w:val="0043557A"/>
    <w:rsid w:val="00436C6F"/>
    <w:rsid w:val="00450117"/>
    <w:rsid w:val="00452283"/>
    <w:rsid w:val="00454433"/>
    <w:rsid w:val="004554D3"/>
    <w:rsid w:val="00456E12"/>
    <w:rsid w:val="00460271"/>
    <w:rsid w:val="00463AFE"/>
    <w:rsid w:val="00465504"/>
    <w:rsid w:val="00465F72"/>
    <w:rsid w:val="004739E7"/>
    <w:rsid w:val="00475AA7"/>
    <w:rsid w:val="00476F76"/>
    <w:rsid w:val="0048295B"/>
    <w:rsid w:val="00484437"/>
    <w:rsid w:val="00490A2F"/>
    <w:rsid w:val="004910C4"/>
    <w:rsid w:val="00491FEC"/>
    <w:rsid w:val="00492845"/>
    <w:rsid w:val="00494F0E"/>
    <w:rsid w:val="004A0A99"/>
    <w:rsid w:val="004A23AA"/>
    <w:rsid w:val="004A3C76"/>
    <w:rsid w:val="004A4836"/>
    <w:rsid w:val="004A53DD"/>
    <w:rsid w:val="004A64C8"/>
    <w:rsid w:val="004B0BC1"/>
    <w:rsid w:val="004B1C1C"/>
    <w:rsid w:val="004B4B8F"/>
    <w:rsid w:val="004B6787"/>
    <w:rsid w:val="004B7840"/>
    <w:rsid w:val="004C0A11"/>
    <w:rsid w:val="004C113A"/>
    <w:rsid w:val="004C2734"/>
    <w:rsid w:val="004C30B2"/>
    <w:rsid w:val="004C4C55"/>
    <w:rsid w:val="004C62B1"/>
    <w:rsid w:val="004C6B98"/>
    <w:rsid w:val="004D3692"/>
    <w:rsid w:val="004D4EBF"/>
    <w:rsid w:val="004D65D7"/>
    <w:rsid w:val="004D6ABF"/>
    <w:rsid w:val="004D78FA"/>
    <w:rsid w:val="004E01DD"/>
    <w:rsid w:val="004E12B7"/>
    <w:rsid w:val="004E1A54"/>
    <w:rsid w:val="004E33B4"/>
    <w:rsid w:val="004E40AE"/>
    <w:rsid w:val="004E4462"/>
    <w:rsid w:val="004E47FA"/>
    <w:rsid w:val="004F4E8A"/>
    <w:rsid w:val="004F642B"/>
    <w:rsid w:val="005102ED"/>
    <w:rsid w:val="00513A1B"/>
    <w:rsid w:val="00514E9F"/>
    <w:rsid w:val="00517209"/>
    <w:rsid w:val="005174DC"/>
    <w:rsid w:val="0051751A"/>
    <w:rsid w:val="005216D9"/>
    <w:rsid w:val="00522516"/>
    <w:rsid w:val="005234C9"/>
    <w:rsid w:val="005248A3"/>
    <w:rsid w:val="00525445"/>
    <w:rsid w:val="0052739D"/>
    <w:rsid w:val="00527414"/>
    <w:rsid w:val="005332BD"/>
    <w:rsid w:val="00534B7B"/>
    <w:rsid w:val="005370D2"/>
    <w:rsid w:val="0054411D"/>
    <w:rsid w:val="005445CF"/>
    <w:rsid w:val="00546A6A"/>
    <w:rsid w:val="00547B4E"/>
    <w:rsid w:val="00551D92"/>
    <w:rsid w:val="00552DA2"/>
    <w:rsid w:val="0055724C"/>
    <w:rsid w:val="00563E2A"/>
    <w:rsid w:val="00567EA4"/>
    <w:rsid w:val="00571B2A"/>
    <w:rsid w:val="0057726B"/>
    <w:rsid w:val="00577869"/>
    <w:rsid w:val="00586101"/>
    <w:rsid w:val="0059116C"/>
    <w:rsid w:val="00591C07"/>
    <w:rsid w:val="00595776"/>
    <w:rsid w:val="005966A0"/>
    <w:rsid w:val="005A0761"/>
    <w:rsid w:val="005A2318"/>
    <w:rsid w:val="005A2FFD"/>
    <w:rsid w:val="005B3C86"/>
    <w:rsid w:val="005B4214"/>
    <w:rsid w:val="005B44AC"/>
    <w:rsid w:val="005B4F02"/>
    <w:rsid w:val="005B785A"/>
    <w:rsid w:val="005C00D4"/>
    <w:rsid w:val="005C028F"/>
    <w:rsid w:val="005C1E4E"/>
    <w:rsid w:val="005C2C9E"/>
    <w:rsid w:val="005D07A6"/>
    <w:rsid w:val="005D1BFA"/>
    <w:rsid w:val="005D23D5"/>
    <w:rsid w:val="005D3A9C"/>
    <w:rsid w:val="005D3E01"/>
    <w:rsid w:val="005D612B"/>
    <w:rsid w:val="005E08F5"/>
    <w:rsid w:val="005E12D8"/>
    <w:rsid w:val="005E33BB"/>
    <w:rsid w:val="005E3934"/>
    <w:rsid w:val="005E6DBA"/>
    <w:rsid w:val="005E7215"/>
    <w:rsid w:val="005F1C88"/>
    <w:rsid w:val="005F3948"/>
    <w:rsid w:val="005F5088"/>
    <w:rsid w:val="005F5954"/>
    <w:rsid w:val="005F5E18"/>
    <w:rsid w:val="005F726B"/>
    <w:rsid w:val="00602264"/>
    <w:rsid w:val="006025ED"/>
    <w:rsid w:val="00602D1E"/>
    <w:rsid w:val="0061173D"/>
    <w:rsid w:val="00612680"/>
    <w:rsid w:val="0061393B"/>
    <w:rsid w:val="0061524D"/>
    <w:rsid w:val="006155E6"/>
    <w:rsid w:val="006155FA"/>
    <w:rsid w:val="0061638B"/>
    <w:rsid w:val="00624695"/>
    <w:rsid w:val="0062495D"/>
    <w:rsid w:val="00626CBD"/>
    <w:rsid w:val="0063081A"/>
    <w:rsid w:val="00633CEB"/>
    <w:rsid w:val="00635225"/>
    <w:rsid w:val="00636EB6"/>
    <w:rsid w:val="006405FB"/>
    <w:rsid w:val="00640B75"/>
    <w:rsid w:val="00641F1D"/>
    <w:rsid w:val="00644389"/>
    <w:rsid w:val="00646AA3"/>
    <w:rsid w:val="0064750B"/>
    <w:rsid w:val="00652C85"/>
    <w:rsid w:val="00654ABC"/>
    <w:rsid w:val="006559E0"/>
    <w:rsid w:val="0065635C"/>
    <w:rsid w:val="0066192B"/>
    <w:rsid w:val="00661A07"/>
    <w:rsid w:val="00664E0C"/>
    <w:rsid w:val="00671CB0"/>
    <w:rsid w:val="00674B23"/>
    <w:rsid w:val="006765F8"/>
    <w:rsid w:val="006770BD"/>
    <w:rsid w:val="00677995"/>
    <w:rsid w:val="006800B9"/>
    <w:rsid w:val="006816FD"/>
    <w:rsid w:val="0069029F"/>
    <w:rsid w:val="006916F4"/>
    <w:rsid w:val="00693FEA"/>
    <w:rsid w:val="006975E4"/>
    <w:rsid w:val="0069790A"/>
    <w:rsid w:val="006A4B9C"/>
    <w:rsid w:val="006A5615"/>
    <w:rsid w:val="006A6243"/>
    <w:rsid w:val="006A62E4"/>
    <w:rsid w:val="006B02DD"/>
    <w:rsid w:val="006B0397"/>
    <w:rsid w:val="006B6669"/>
    <w:rsid w:val="006B6B0F"/>
    <w:rsid w:val="006C356B"/>
    <w:rsid w:val="006C4E82"/>
    <w:rsid w:val="006C6745"/>
    <w:rsid w:val="006D1463"/>
    <w:rsid w:val="006D1B6B"/>
    <w:rsid w:val="006D1F90"/>
    <w:rsid w:val="006D3016"/>
    <w:rsid w:val="006D672E"/>
    <w:rsid w:val="006D6953"/>
    <w:rsid w:val="006D78BD"/>
    <w:rsid w:val="006E08E5"/>
    <w:rsid w:val="006E0B74"/>
    <w:rsid w:val="006E1679"/>
    <w:rsid w:val="006E1F66"/>
    <w:rsid w:val="006E24F7"/>
    <w:rsid w:val="006E33B3"/>
    <w:rsid w:val="006E41B8"/>
    <w:rsid w:val="006F6FA9"/>
    <w:rsid w:val="006F764F"/>
    <w:rsid w:val="00701A88"/>
    <w:rsid w:val="007040ED"/>
    <w:rsid w:val="00707AB5"/>
    <w:rsid w:val="007156F8"/>
    <w:rsid w:val="00716013"/>
    <w:rsid w:val="00716434"/>
    <w:rsid w:val="007179F3"/>
    <w:rsid w:val="00717AC3"/>
    <w:rsid w:val="00725AD8"/>
    <w:rsid w:val="00726AF4"/>
    <w:rsid w:val="00726E55"/>
    <w:rsid w:val="00730A0B"/>
    <w:rsid w:val="007355E1"/>
    <w:rsid w:val="0073635F"/>
    <w:rsid w:val="007371A0"/>
    <w:rsid w:val="00740A1F"/>
    <w:rsid w:val="00742BE7"/>
    <w:rsid w:val="00745574"/>
    <w:rsid w:val="007456D8"/>
    <w:rsid w:val="0076081D"/>
    <w:rsid w:val="00761BC3"/>
    <w:rsid w:val="007633DB"/>
    <w:rsid w:val="00766CE7"/>
    <w:rsid w:val="00770A6B"/>
    <w:rsid w:val="00775E8B"/>
    <w:rsid w:val="00776704"/>
    <w:rsid w:val="00777256"/>
    <w:rsid w:val="00781B36"/>
    <w:rsid w:val="00782FA0"/>
    <w:rsid w:val="007853D1"/>
    <w:rsid w:val="00786DBD"/>
    <w:rsid w:val="007910BF"/>
    <w:rsid w:val="00791B63"/>
    <w:rsid w:val="007934C2"/>
    <w:rsid w:val="00793D1F"/>
    <w:rsid w:val="0079767B"/>
    <w:rsid w:val="00797733"/>
    <w:rsid w:val="007A07FB"/>
    <w:rsid w:val="007A1023"/>
    <w:rsid w:val="007A4089"/>
    <w:rsid w:val="007A607A"/>
    <w:rsid w:val="007C0369"/>
    <w:rsid w:val="007C04EF"/>
    <w:rsid w:val="007C2CAE"/>
    <w:rsid w:val="007C7567"/>
    <w:rsid w:val="007D20E1"/>
    <w:rsid w:val="007D6F27"/>
    <w:rsid w:val="007E15E7"/>
    <w:rsid w:val="007E4DBF"/>
    <w:rsid w:val="007E6487"/>
    <w:rsid w:val="007E6BC8"/>
    <w:rsid w:val="007E75A4"/>
    <w:rsid w:val="007F08B6"/>
    <w:rsid w:val="007F3150"/>
    <w:rsid w:val="007F39D1"/>
    <w:rsid w:val="007F4122"/>
    <w:rsid w:val="007F6993"/>
    <w:rsid w:val="007F7CFB"/>
    <w:rsid w:val="0080128E"/>
    <w:rsid w:val="00803074"/>
    <w:rsid w:val="008063BB"/>
    <w:rsid w:val="00810CC5"/>
    <w:rsid w:val="008111E7"/>
    <w:rsid w:val="00812C3E"/>
    <w:rsid w:val="008134AF"/>
    <w:rsid w:val="00814572"/>
    <w:rsid w:val="008217C6"/>
    <w:rsid w:val="00821D3B"/>
    <w:rsid w:val="0082251C"/>
    <w:rsid w:val="00822709"/>
    <w:rsid w:val="008246CF"/>
    <w:rsid w:val="00830686"/>
    <w:rsid w:val="00831928"/>
    <w:rsid w:val="0083259C"/>
    <w:rsid w:val="00833514"/>
    <w:rsid w:val="00833897"/>
    <w:rsid w:val="0083707D"/>
    <w:rsid w:val="008403F3"/>
    <w:rsid w:val="00841803"/>
    <w:rsid w:val="00841F79"/>
    <w:rsid w:val="008454A9"/>
    <w:rsid w:val="00850097"/>
    <w:rsid w:val="008530CA"/>
    <w:rsid w:val="00853505"/>
    <w:rsid w:val="0085481D"/>
    <w:rsid w:val="00857D11"/>
    <w:rsid w:val="00862230"/>
    <w:rsid w:val="00864643"/>
    <w:rsid w:val="0086544A"/>
    <w:rsid w:val="008665DE"/>
    <w:rsid w:val="008675B5"/>
    <w:rsid w:val="008704C9"/>
    <w:rsid w:val="00877241"/>
    <w:rsid w:val="008821A5"/>
    <w:rsid w:val="00882237"/>
    <w:rsid w:val="00883D6D"/>
    <w:rsid w:val="00886959"/>
    <w:rsid w:val="00894C6A"/>
    <w:rsid w:val="00896F8F"/>
    <w:rsid w:val="008A3264"/>
    <w:rsid w:val="008A332F"/>
    <w:rsid w:val="008A5E1A"/>
    <w:rsid w:val="008A6316"/>
    <w:rsid w:val="008A68C2"/>
    <w:rsid w:val="008B0FCD"/>
    <w:rsid w:val="008B3C91"/>
    <w:rsid w:val="008B488B"/>
    <w:rsid w:val="008C3381"/>
    <w:rsid w:val="008C35FA"/>
    <w:rsid w:val="008C3928"/>
    <w:rsid w:val="008C4A03"/>
    <w:rsid w:val="008C6090"/>
    <w:rsid w:val="008C7599"/>
    <w:rsid w:val="008C79ED"/>
    <w:rsid w:val="008D0226"/>
    <w:rsid w:val="008D0ACE"/>
    <w:rsid w:val="008E1550"/>
    <w:rsid w:val="008E2704"/>
    <w:rsid w:val="008E30B7"/>
    <w:rsid w:val="008E5EA3"/>
    <w:rsid w:val="008E7AD1"/>
    <w:rsid w:val="008F19C6"/>
    <w:rsid w:val="008F2ADB"/>
    <w:rsid w:val="008F35BE"/>
    <w:rsid w:val="008F432E"/>
    <w:rsid w:val="008F4B9C"/>
    <w:rsid w:val="008F4CC6"/>
    <w:rsid w:val="008F55CB"/>
    <w:rsid w:val="009021EE"/>
    <w:rsid w:val="009053FA"/>
    <w:rsid w:val="00906EF7"/>
    <w:rsid w:val="00907575"/>
    <w:rsid w:val="009076C8"/>
    <w:rsid w:val="0091040C"/>
    <w:rsid w:val="00910BAD"/>
    <w:rsid w:val="0091519E"/>
    <w:rsid w:val="00920DA5"/>
    <w:rsid w:val="009309A9"/>
    <w:rsid w:val="009311B6"/>
    <w:rsid w:val="009324E4"/>
    <w:rsid w:val="00933FF8"/>
    <w:rsid w:val="009358E4"/>
    <w:rsid w:val="00937951"/>
    <w:rsid w:val="00943D65"/>
    <w:rsid w:val="00945604"/>
    <w:rsid w:val="00945925"/>
    <w:rsid w:val="009546B0"/>
    <w:rsid w:val="0096315C"/>
    <w:rsid w:val="0096509E"/>
    <w:rsid w:val="0096614F"/>
    <w:rsid w:val="00967574"/>
    <w:rsid w:val="009708AD"/>
    <w:rsid w:val="00972CB7"/>
    <w:rsid w:val="00974161"/>
    <w:rsid w:val="0097457B"/>
    <w:rsid w:val="00982C24"/>
    <w:rsid w:val="0098773E"/>
    <w:rsid w:val="0099227B"/>
    <w:rsid w:val="009A020D"/>
    <w:rsid w:val="009A1467"/>
    <w:rsid w:val="009A185D"/>
    <w:rsid w:val="009A234D"/>
    <w:rsid w:val="009A745D"/>
    <w:rsid w:val="009A7503"/>
    <w:rsid w:val="009B1280"/>
    <w:rsid w:val="009B499D"/>
    <w:rsid w:val="009B657F"/>
    <w:rsid w:val="009C0B19"/>
    <w:rsid w:val="009C15E7"/>
    <w:rsid w:val="009C1AD4"/>
    <w:rsid w:val="009C1AD9"/>
    <w:rsid w:val="009C306C"/>
    <w:rsid w:val="009C7C16"/>
    <w:rsid w:val="009D09A5"/>
    <w:rsid w:val="009D0ACE"/>
    <w:rsid w:val="009D2681"/>
    <w:rsid w:val="009D4961"/>
    <w:rsid w:val="009D4A44"/>
    <w:rsid w:val="009D6C6A"/>
    <w:rsid w:val="009D7F01"/>
    <w:rsid w:val="009E307A"/>
    <w:rsid w:val="009E34A2"/>
    <w:rsid w:val="009E6273"/>
    <w:rsid w:val="009E734E"/>
    <w:rsid w:val="009E767A"/>
    <w:rsid w:val="009F04A7"/>
    <w:rsid w:val="009F117C"/>
    <w:rsid w:val="009F22B8"/>
    <w:rsid w:val="009F28B7"/>
    <w:rsid w:val="009F6A2C"/>
    <w:rsid w:val="00A01B85"/>
    <w:rsid w:val="00A03B6C"/>
    <w:rsid w:val="00A07B24"/>
    <w:rsid w:val="00A11F53"/>
    <w:rsid w:val="00A14FF7"/>
    <w:rsid w:val="00A21E4D"/>
    <w:rsid w:val="00A246CF"/>
    <w:rsid w:val="00A26675"/>
    <w:rsid w:val="00A35A74"/>
    <w:rsid w:val="00A42982"/>
    <w:rsid w:val="00A4451B"/>
    <w:rsid w:val="00A51897"/>
    <w:rsid w:val="00A51A11"/>
    <w:rsid w:val="00A52A94"/>
    <w:rsid w:val="00A52D92"/>
    <w:rsid w:val="00A5338E"/>
    <w:rsid w:val="00A547CE"/>
    <w:rsid w:val="00A570E6"/>
    <w:rsid w:val="00A61BB8"/>
    <w:rsid w:val="00A6473B"/>
    <w:rsid w:val="00A651AE"/>
    <w:rsid w:val="00A67671"/>
    <w:rsid w:val="00A67779"/>
    <w:rsid w:val="00A7288E"/>
    <w:rsid w:val="00A74087"/>
    <w:rsid w:val="00A741EC"/>
    <w:rsid w:val="00A752A4"/>
    <w:rsid w:val="00A755B3"/>
    <w:rsid w:val="00A8073E"/>
    <w:rsid w:val="00A83CD1"/>
    <w:rsid w:val="00A83DA9"/>
    <w:rsid w:val="00A8604E"/>
    <w:rsid w:val="00A87219"/>
    <w:rsid w:val="00A941CB"/>
    <w:rsid w:val="00A94886"/>
    <w:rsid w:val="00A97541"/>
    <w:rsid w:val="00AA354B"/>
    <w:rsid w:val="00AB002A"/>
    <w:rsid w:val="00AB31ED"/>
    <w:rsid w:val="00AB4C43"/>
    <w:rsid w:val="00AB5090"/>
    <w:rsid w:val="00AC166E"/>
    <w:rsid w:val="00AC429A"/>
    <w:rsid w:val="00AC61D4"/>
    <w:rsid w:val="00AD4739"/>
    <w:rsid w:val="00AD4864"/>
    <w:rsid w:val="00AD7864"/>
    <w:rsid w:val="00AD7B32"/>
    <w:rsid w:val="00AE08F2"/>
    <w:rsid w:val="00AE11FB"/>
    <w:rsid w:val="00AE228E"/>
    <w:rsid w:val="00AE6BD0"/>
    <w:rsid w:val="00AE6C2D"/>
    <w:rsid w:val="00AF0A17"/>
    <w:rsid w:val="00AF4DCA"/>
    <w:rsid w:val="00AF4F72"/>
    <w:rsid w:val="00AF694A"/>
    <w:rsid w:val="00B0145C"/>
    <w:rsid w:val="00B0320E"/>
    <w:rsid w:val="00B07E90"/>
    <w:rsid w:val="00B12321"/>
    <w:rsid w:val="00B135E4"/>
    <w:rsid w:val="00B1398F"/>
    <w:rsid w:val="00B1477C"/>
    <w:rsid w:val="00B14B16"/>
    <w:rsid w:val="00B165FA"/>
    <w:rsid w:val="00B20795"/>
    <w:rsid w:val="00B21D07"/>
    <w:rsid w:val="00B27332"/>
    <w:rsid w:val="00B276EB"/>
    <w:rsid w:val="00B318FC"/>
    <w:rsid w:val="00B31BF2"/>
    <w:rsid w:val="00B36698"/>
    <w:rsid w:val="00B36928"/>
    <w:rsid w:val="00B42DAF"/>
    <w:rsid w:val="00B44173"/>
    <w:rsid w:val="00B4556C"/>
    <w:rsid w:val="00B5063D"/>
    <w:rsid w:val="00B5109B"/>
    <w:rsid w:val="00B52B53"/>
    <w:rsid w:val="00B53BBF"/>
    <w:rsid w:val="00B54A13"/>
    <w:rsid w:val="00B570D4"/>
    <w:rsid w:val="00B636E9"/>
    <w:rsid w:val="00B63BA8"/>
    <w:rsid w:val="00B64011"/>
    <w:rsid w:val="00B65181"/>
    <w:rsid w:val="00B6522B"/>
    <w:rsid w:val="00B66553"/>
    <w:rsid w:val="00B66F3B"/>
    <w:rsid w:val="00B67764"/>
    <w:rsid w:val="00B713FD"/>
    <w:rsid w:val="00B73FFA"/>
    <w:rsid w:val="00B761A3"/>
    <w:rsid w:val="00B7631F"/>
    <w:rsid w:val="00B815D6"/>
    <w:rsid w:val="00B82B4E"/>
    <w:rsid w:val="00B87AB0"/>
    <w:rsid w:val="00B90A83"/>
    <w:rsid w:val="00B922E9"/>
    <w:rsid w:val="00B94EB5"/>
    <w:rsid w:val="00B96C5A"/>
    <w:rsid w:val="00BA172D"/>
    <w:rsid w:val="00BA4DC4"/>
    <w:rsid w:val="00BA5324"/>
    <w:rsid w:val="00BA6C70"/>
    <w:rsid w:val="00BB2E3A"/>
    <w:rsid w:val="00BB3126"/>
    <w:rsid w:val="00BB317B"/>
    <w:rsid w:val="00BB4529"/>
    <w:rsid w:val="00BB7CA9"/>
    <w:rsid w:val="00BC0562"/>
    <w:rsid w:val="00BC1996"/>
    <w:rsid w:val="00BC6942"/>
    <w:rsid w:val="00BD3B78"/>
    <w:rsid w:val="00BE1196"/>
    <w:rsid w:val="00BE2662"/>
    <w:rsid w:val="00BE71A7"/>
    <w:rsid w:val="00BE7699"/>
    <w:rsid w:val="00BE7780"/>
    <w:rsid w:val="00BF00DD"/>
    <w:rsid w:val="00BF2ECD"/>
    <w:rsid w:val="00BF4C81"/>
    <w:rsid w:val="00C02A41"/>
    <w:rsid w:val="00C030BC"/>
    <w:rsid w:val="00C03ED4"/>
    <w:rsid w:val="00C03F11"/>
    <w:rsid w:val="00C05B80"/>
    <w:rsid w:val="00C05D82"/>
    <w:rsid w:val="00C07A87"/>
    <w:rsid w:val="00C141F1"/>
    <w:rsid w:val="00C15895"/>
    <w:rsid w:val="00C17AD9"/>
    <w:rsid w:val="00C20704"/>
    <w:rsid w:val="00C26296"/>
    <w:rsid w:val="00C264C3"/>
    <w:rsid w:val="00C329A8"/>
    <w:rsid w:val="00C34B7A"/>
    <w:rsid w:val="00C353D6"/>
    <w:rsid w:val="00C4068B"/>
    <w:rsid w:val="00C449C2"/>
    <w:rsid w:val="00C57B24"/>
    <w:rsid w:val="00C60C52"/>
    <w:rsid w:val="00C62145"/>
    <w:rsid w:val="00C62715"/>
    <w:rsid w:val="00C66B97"/>
    <w:rsid w:val="00C706FB"/>
    <w:rsid w:val="00C71FD1"/>
    <w:rsid w:val="00C72907"/>
    <w:rsid w:val="00C7322F"/>
    <w:rsid w:val="00C75622"/>
    <w:rsid w:val="00C7609A"/>
    <w:rsid w:val="00C77594"/>
    <w:rsid w:val="00C82311"/>
    <w:rsid w:val="00C85A40"/>
    <w:rsid w:val="00C876DE"/>
    <w:rsid w:val="00C879CD"/>
    <w:rsid w:val="00C918F0"/>
    <w:rsid w:val="00C92C1F"/>
    <w:rsid w:val="00C953C1"/>
    <w:rsid w:val="00C95739"/>
    <w:rsid w:val="00C95903"/>
    <w:rsid w:val="00C96872"/>
    <w:rsid w:val="00CA20A7"/>
    <w:rsid w:val="00CA2C7A"/>
    <w:rsid w:val="00CA7830"/>
    <w:rsid w:val="00CB12A9"/>
    <w:rsid w:val="00CB2CB9"/>
    <w:rsid w:val="00CB3B23"/>
    <w:rsid w:val="00CB5570"/>
    <w:rsid w:val="00CB69F1"/>
    <w:rsid w:val="00CC0708"/>
    <w:rsid w:val="00CC1E02"/>
    <w:rsid w:val="00CC2F70"/>
    <w:rsid w:val="00CC439D"/>
    <w:rsid w:val="00CC5BAD"/>
    <w:rsid w:val="00CC7FD1"/>
    <w:rsid w:val="00CD0EC1"/>
    <w:rsid w:val="00CD248D"/>
    <w:rsid w:val="00CD24E5"/>
    <w:rsid w:val="00CD35A6"/>
    <w:rsid w:val="00CD3D6A"/>
    <w:rsid w:val="00CD6289"/>
    <w:rsid w:val="00CD6D32"/>
    <w:rsid w:val="00CE0F59"/>
    <w:rsid w:val="00CE477A"/>
    <w:rsid w:val="00CE6EEA"/>
    <w:rsid w:val="00CE7749"/>
    <w:rsid w:val="00CE799D"/>
    <w:rsid w:val="00CE7C13"/>
    <w:rsid w:val="00CF097D"/>
    <w:rsid w:val="00CF3A50"/>
    <w:rsid w:val="00CF5581"/>
    <w:rsid w:val="00D050B9"/>
    <w:rsid w:val="00D11BC8"/>
    <w:rsid w:val="00D133B3"/>
    <w:rsid w:val="00D13A82"/>
    <w:rsid w:val="00D14918"/>
    <w:rsid w:val="00D15142"/>
    <w:rsid w:val="00D151DF"/>
    <w:rsid w:val="00D17D65"/>
    <w:rsid w:val="00D32A99"/>
    <w:rsid w:val="00D34A23"/>
    <w:rsid w:val="00D34E16"/>
    <w:rsid w:val="00D359C0"/>
    <w:rsid w:val="00D40C79"/>
    <w:rsid w:val="00D41165"/>
    <w:rsid w:val="00D451AA"/>
    <w:rsid w:val="00D460E9"/>
    <w:rsid w:val="00D477B7"/>
    <w:rsid w:val="00D47A3B"/>
    <w:rsid w:val="00D53A46"/>
    <w:rsid w:val="00D564B0"/>
    <w:rsid w:val="00D57337"/>
    <w:rsid w:val="00D60447"/>
    <w:rsid w:val="00D61BC4"/>
    <w:rsid w:val="00D61C25"/>
    <w:rsid w:val="00D62694"/>
    <w:rsid w:val="00D717DC"/>
    <w:rsid w:val="00D81810"/>
    <w:rsid w:val="00D819EE"/>
    <w:rsid w:val="00D856A9"/>
    <w:rsid w:val="00D86A65"/>
    <w:rsid w:val="00D90591"/>
    <w:rsid w:val="00D921E4"/>
    <w:rsid w:val="00D93A10"/>
    <w:rsid w:val="00DA03FE"/>
    <w:rsid w:val="00DA0C94"/>
    <w:rsid w:val="00DA4B7D"/>
    <w:rsid w:val="00DC0EF3"/>
    <w:rsid w:val="00DC11D2"/>
    <w:rsid w:val="00DC173C"/>
    <w:rsid w:val="00DC3D00"/>
    <w:rsid w:val="00DC5C2B"/>
    <w:rsid w:val="00DC7156"/>
    <w:rsid w:val="00DD2263"/>
    <w:rsid w:val="00DD2FC0"/>
    <w:rsid w:val="00DD333E"/>
    <w:rsid w:val="00DD407F"/>
    <w:rsid w:val="00DD4219"/>
    <w:rsid w:val="00DD4C92"/>
    <w:rsid w:val="00DD4EA8"/>
    <w:rsid w:val="00DD5C94"/>
    <w:rsid w:val="00DD5EC4"/>
    <w:rsid w:val="00DE2DA0"/>
    <w:rsid w:val="00DE6522"/>
    <w:rsid w:val="00DF0596"/>
    <w:rsid w:val="00DF3DFB"/>
    <w:rsid w:val="00E00670"/>
    <w:rsid w:val="00E01BD9"/>
    <w:rsid w:val="00E035A5"/>
    <w:rsid w:val="00E04A9F"/>
    <w:rsid w:val="00E0553D"/>
    <w:rsid w:val="00E102F6"/>
    <w:rsid w:val="00E103BA"/>
    <w:rsid w:val="00E1105C"/>
    <w:rsid w:val="00E15B57"/>
    <w:rsid w:val="00E16673"/>
    <w:rsid w:val="00E2125E"/>
    <w:rsid w:val="00E23819"/>
    <w:rsid w:val="00E24BDF"/>
    <w:rsid w:val="00E24D35"/>
    <w:rsid w:val="00E2779C"/>
    <w:rsid w:val="00E3385F"/>
    <w:rsid w:val="00E33CB3"/>
    <w:rsid w:val="00E34A37"/>
    <w:rsid w:val="00E36544"/>
    <w:rsid w:val="00E36D04"/>
    <w:rsid w:val="00E4110C"/>
    <w:rsid w:val="00E50220"/>
    <w:rsid w:val="00E506F1"/>
    <w:rsid w:val="00E511F7"/>
    <w:rsid w:val="00E53349"/>
    <w:rsid w:val="00E548FF"/>
    <w:rsid w:val="00E57DA9"/>
    <w:rsid w:val="00E603EF"/>
    <w:rsid w:val="00E6284E"/>
    <w:rsid w:val="00E63C4A"/>
    <w:rsid w:val="00E715C5"/>
    <w:rsid w:val="00E72132"/>
    <w:rsid w:val="00E723DE"/>
    <w:rsid w:val="00E76CF5"/>
    <w:rsid w:val="00E7798E"/>
    <w:rsid w:val="00E802F8"/>
    <w:rsid w:val="00E8113C"/>
    <w:rsid w:val="00E81808"/>
    <w:rsid w:val="00E8209B"/>
    <w:rsid w:val="00E830EA"/>
    <w:rsid w:val="00E9546C"/>
    <w:rsid w:val="00E97B3A"/>
    <w:rsid w:val="00EA0046"/>
    <w:rsid w:val="00EA1052"/>
    <w:rsid w:val="00EA1720"/>
    <w:rsid w:val="00EA4D75"/>
    <w:rsid w:val="00EA5F17"/>
    <w:rsid w:val="00EA7F80"/>
    <w:rsid w:val="00EB15F2"/>
    <w:rsid w:val="00EB24B0"/>
    <w:rsid w:val="00EB2C56"/>
    <w:rsid w:val="00EB3CFE"/>
    <w:rsid w:val="00EB6C2C"/>
    <w:rsid w:val="00EC2F08"/>
    <w:rsid w:val="00EC55CD"/>
    <w:rsid w:val="00EC7506"/>
    <w:rsid w:val="00ED2634"/>
    <w:rsid w:val="00ED2DE2"/>
    <w:rsid w:val="00ED45DF"/>
    <w:rsid w:val="00EE0E2C"/>
    <w:rsid w:val="00EE203D"/>
    <w:rsid w:val="00EE2F8D"/>
    <w:rsid w:val="00EE335C"/>
    <w:rsid w:val="00EE5E48"/>
    <w:rsid w:val="00EE67D5"/>
    <w:rsid w:val="00EE7346"/>
    <w:rsid w:val="00EE7E5D"/>
    <w:rsid w:val="00EF1516"/>
    <w:rsid w:val="00EF5173"/>
    <w:rsid w:val="00EF5A6A"/>
    <w:rsid w:val="00EF6847"/>
    <w:rsid w:val="00EF77E6"/>
    <w:rsid w:val="00F00A99"/>
    <w:rsid w:val="00F0150E"/>
    <w:rsid w:val="00F029C1"/>
    <w:rsid w:val="00F07E51"/>
    <w:rsid w:val="00F1150B"/>
    <w:rsid w:val="00F150E7"/>
    <w:rsid w:val="00F156BA"/>
    <w:rsid w:val="00F15DD9"/>
    <w:rsid w:val="00F2133C"/>
    <w:rsid w:val="00F23028"/>
    <w:rsid w:val="00F254CC"/>
    <w:rsid w:val="00F25BAA"/>
    <w:rsid w:val="00F260E3"/>
    <w:rsid w:val="00F30BF2"/>
    <w:rsid w:val="00F31BD7"/>
    <w:rsid w:val="00F34963"/>
    <w:rsid w:val="00F34FD3"/>
    <w:rsid w:val="00F40E7B"/>
    <w:rsid w:val="00F4296C"/>
    <w:rsid w:val="00F46887"/>
    <w:rsid w:val="00F546D6"/>
    <w:rsid w:val="00F573DE"/>
    <w:rsid w:val="00F6297F"/>
    <w:rsid w:val="00F6358F"/>
    <w:rsid w:val="00F65E38"/>
    <w:rsid w:val="00F6622B"/>
    <w:rsid w:val="00F6733B"/>
    <w:rsid w:val="00F71E1C"/>
    <w:rsid w:val="00F728BB"/>
    <w:rsid w:val="00F73F99"/>
    <w:rsid w:val="00F75B34"/>
    <w:rsid w:val="00F807A9"/>
    <w:rsid w:val="00F826D5"/>
    <w:rsid w:val="00F82DE1"/>
    <w:rsid w:val="00F82EE7"/>
    <w:rsid w:val="00F83B31"/>
    <w:rsid w:val="00F86436"/>
    <w:rsid w:val="00F87F8E"/>
    <w:rsid w:val="00F90BAC"/>
    <w:rsid w:val="00F92467"/>
    <w:rsid w:val="00F93F24"/>
    <w:rsid w:val="00F953E3"/>
    <w:rsid w:val="00F959DA"/>
    <w:rsid w:val="00F97657"/>
    <w:rsid w:val="00F97FEC"/>
    <w:rsid w:val="00FA0DCA"/>
    <w:rsid w:val="00FA0F11"/>
    <w:rsid w:val="00FA30F4"/>
    <w:rsid w:val="00FA5EF8"/>
    <w:rsid w:val="00FB2077"/>
    <w:rsid w:val="00FB2845"/>
    <w:rsid w:val="00FB5A3B"/>
    <w:rsid w:val="00FB6D09"/>
    <w:rsid w:val="00FC0597"/>
    <w:rsid w:val="00FC15B3"/>
    <w:rsid w:val="00FC1F8C"/>
    <w:rsid w:val="00FC3F3A"/>
    <w:rsid w:val="00FC5401"/>
    <w:rsid w:val="00FC7F8D"/>
    <w:rsid w:val="00FD3D5C"/>
    <w:rsid w:val="00FD45EA"/>
    <w:rsid w:val="00FD507D"/>
    <w:rsid w:val="00FD6691"/>
    <w:rsid w:val="00FD77B0"/>
    <w:rsid w:val="00FD782E"/>
    <w:rsid w:val="00FE195C"/>
    <w:rsid w:val="00FE2D0A"/>
    <w:rsid w:val="00FF339E"/>
    <w:rsid w:val="00FF3E34"/>
    <w:rsid w:val="00FF4349"/>
    <w:rsid w:val="00FF759F"/>
    <w:rsid w:val="04C55DAF"/>
    <w:rsid w:val="05306B7A"/>
    <w:rsid w:val="05DD5204"/>
    <w:rsid w:val="07070CB0"/>
    <w:rsid w:val="08A54A03"/>
    <w:rsid w:val="08D119A7"/>
    <w:rsid w:val="095E541B"/>
    <w:rsid w:val="0A1832FB"/>
    <w:rsid w:val="0CC757AF"/>
    <w:rsid w:val="0F5814F2"/>
    <w:rsid w:val="13DA0B52"/>
    <w:rsid w:val="14364D6E"/>
    <w:rsid w:val="154F6692"/>
    <w:rsid w:val="163525B5"/>
    <w:rsid w:val="165257EC"/>
    <w:rsid w:val="181F496B"/>
    <w:rsid w:val="18361EC5"/>
    <w:rsid w:val="19391E94"/>
    <w:rsid w:val="198D6278"/>
    <w:rsid w:val="1B4F2AEE"/>
    <w:rsid w:val="1D411C45"/>
    <w:rsid w:val="1E062335"/>
    <w:rsid w:val="220A761F"/>
    <w:rsid w:val="253F59D3"/>
    <w:rsid w:val="2575310E"/>
    <w:rsid w:val="25C9272C"/>
    <w:rsid w:val="2833536E"/>
    <w:rsid w:val="2A635DB2"/>
    <w:rsid w:val="2A6A65B8"/>
    <w:rsid w:val="2D704706"/>
    <w:rsid w:val="2F2D6086"/>
    <w:rsid w:val="2FD442AF"/>
    <w:rsid w:val="3046449D"/>
    <w:rsid w:val="329503DD"/>
    <w:rsid w:val="3325374B"/>
    <w:rsid w:val="33BA557A"/>
    <w:rsid w:val="34076F5A"/>
    <w:rsid w:val="352E7D00"/>
    <w:rsid w:val="35BF51BA"/>
    <w:rsid w:val="37722AA1"/>
    <w:rsid w:val="39874BBE"/>
    <w:rsid w:val="3A837DAC"/>
    <w:rsid w:val="3BEA3A75"/>
    <w:rsid w:val="3D7E0577"/>
    <w:rsid w:val="40763E5D"/>
    <w:rsid w:val="40851CA5"/>
    <w:rsid w:val="423C2C52"/>
    <w:rsid w:val="42BF489A"/>
    <w:rsid w:val="48977F30"/>
    <w:rsid w:val="494372C0"/>
    <w:rsid w:val="4E601E37"/>
    <w:rsid w:val="507A5F31"/>
    <w:rsid w:val="508440AD"/>
    <w:rsid w:val="54473345"/>
    <w:rsid w:val="572C1664"/>
    <w:rsid w:val="581B6EE9"/>
    <w:rsid w:val="5F0A716A"/>
    <w:rsid w:val="5FA61C7B"/>
    <w:rsid w:val="617F4D4D"/>
    <w:rsid w:val="6243662A"/>
    <w:rsid w:val="62842E8A"/>
    <w:rsid w:val="63B657C1"/>
    <w:rsid w:val="661563BD"/>
    <w:rsid w:val="66B43FD1"/>
    <w:rsid w:val="69A15D5D"/>
    <w:rsid w:val="6E8C048A"/>
    <w:rsid w:val="730A3502"/>
    <w:rsid w:val="74AC0BDE"/>
    <w:rsid w:val="75783BDC"/>
    <w:rsid w:val="76A958AD"/>
    <w:rsid w:val="786A7194"/>
    <w:rsid w:val="792D39CA"/>
    <w:rsid w:val="79352C1D"/>
    <w:rsid w:val="798B2BF7"/>
    <w:rsid w:val="7C26627A"/>
    <w:rsid w:val="7EB84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 id="V:Rule2" type="connector" idref="#_x0000_s1031"/>
        <o:r id="V:Rule3" type="connector" idref="#_x0000_s1032"/>
        <o:r id="V:Rule4" type="connector" idref="#_x0000_s10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autoSpaceDE w:val="0"/>
      <w:autoSpaceDN w:val="0"/>
      <w:jc w:val="center"/>
      <w:outlineLvl w:val="0"/>
    </w:pPr>
    <w:rPr>
      <w:rFonts w:ascii="宋体"/>
      <w:u w:val="single"/>
    </w:r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33"/>
    <w:qFormat/>
    <w:uiPriority w:val="0"/>
    <w:rPr>
      <w:lang w:val="zh-CN"/>
    </w:rPr>
  </w:style>
  <w:style w:type="paragraph" w:styleId="5">
    <w:name w:val="Body Text"/>
    <w:basedOn w:val="1"/>
    <w:qFormat/>
    <w:uiPriority w:val="0"/>
    <w:pPr>
      <w:jc w:val="center"/>
    </w:pPr>
    <w:rPr>
      <w:sz w:val="44"/>
    </w:rPr>
  </w:style>
  <w:style w:type="paragraph" w:styleId="6">
    <w:name w:val="Body Text Indent"/>
    <w:basedOn w:val="1"/>
    <w:qFormat/>
    <w:uiPriority w:val="0"/>
    <w:pPr>
      <w:spacing w:line="360" w:lineRule="auto"/>
      <w:ind w:firstLine="560"/>
    </w:pPr>
    <w:rPr>
      <w:rFonts w:ascii="宋体"/>
      <w:sz w:val="28"/>
    </w:rPr>
  </w:style>
  <w:style w:type="paragraph" w:styleId="7">
    <w:name w:val="Block Text"/>
    <w:basedOn w:val="1"/>
    <w:qFormat/>
    <w:uiPriority w:val="0"/>
    <w:pPr>
      <w:autoSpaceDE w:val="0"/>
      <w:autoSpaceDN w:val="0"/>
      <w:spacing w:line="360" w:lineRule="atLeast"/>
      <w:ind w:left="94" w:leftChars="45" w:right="107" w:rightChars="51"/>
      <w:textAlignment w:val="auto"/>
    </w:pPr>
    <w:rPr>
      <w:rFonts w:ascii="楷体_GB2312" w:hAnsi="Arial" w:eastAsia="楷体_GB2312"/>
      <w:color w:val="000000"/>
      <w:kern w:val="0"/>
      <w:szCs w:val="24"/>
    </w:rPr>
  </w:style>
  <w:style w:type="paragraph" w:styleId="8">
    <w:name w:val="Date"/>
    <w:basedOn w:val="1"/>
    <w:next w:val="1"/>
    <w:link w:val="27"/>
    <w:qFormat/>
    <w:uiPriority w:val="0"/>
    <w:rPr>
      <w:rFonts w:ascii="宋体"/>
      <w:lang w:val="zh-CN"/>
    </w:rPr>
  </w:style>
  <w:style w:type="paragraph" w:styleId="9">
    <w:name w:val="Body Text Indent 2"/>
    <w:basedOn w:val="1"/>
    <w:qFormat/>
    <w:uiPriority w:val="0"/>
    <w:pPr>
      <w:spacing w:line="360" w:lineRule="auto"/>
      <w:ind w:firstLine="480"/>
    </w:pPr>
    <w:rPr>
      <w:rFonts w:ascii="宋体"/>
      <w:color w:val="FF000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bottom w:val="single" w:color="auto" w:sz="6" w:space="1"/>
      </w:pBdr>
      <w:tabs>
        <w:tab w:val="center" w:pos="4153"/>
        <w:tab w:val="right" w:pos="8306"/>
      </w:tabs>
      <w:jc w:val="center"/>
    </w:pPr>
    <w:rPr>
      <w:sz w:val="18"/>
    </w:rPr>
  </w:style>
  <w:style w:type="paragraph" w:styleId="13">
    <w:name w:val="Body Text Indent 3"/>
    <w:basedOn w:val="1"/>
    <w:qFormat/>
    <w:uiPriority w:val="0"/>
    <w:pPr>
      <w:ind w:firstLine="480"/>
    </w:pPr>
    <w:rPr>
      <w:sz w:val="28"/>
    </w:rPr>
  </w:style>
  <w:style w:type="paragraph" w:styleId="14">
    <w:name w:val="Body Text 2"/>
    <w:basedOn w:val="1"/>
    <w:qFormat/>
    <w:uiPriority w:val="0"/>
    <w:pPr>
      <w:jc w:val="center"/>
    </w:pPr>
  </w:style>
  <w:style w:type="paragraph" w:styleId="15">
    <w:name w:val="Normal (Web)"/>
    <w:basedOn w:val="1"/>
    <w:qFormat/>
    <w:uiPriority w:val="0"/>
    <w:pPr>
      <w:widowControl/>
      <w:adjustRightInd/>
      <w:spacing w:before="100" w:beforeAutospacing="1" w:after="100" w:afterAutospacing="1"/>
      <w:textAlignment w:val="auto"/>
    </w:pPr>
    <w:rPr>
      <w:rFonts w:ascii="宋体" w:hAnsi="宋体" w:cs="宋体"/>
      <w:kern w:val="0"/>
      <w:szCs w:val="24"/>
    </w:rPr>
  </w:style>
  <w:style w:type="paragraph" w:styleId="16">
    <w:name w:val="annotation subject"/>
    <w:basedOn w:val="4"/>
    <w:next w:val="4"/>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9">
    <w:name w:val="Table Theme"/>
    <w:basedOn w:val="17"/>
    <w:qFormat/>
    <w:uiPriority w:val="0"/>
    <w:pPr>
      <w:widowControl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0"/>
    <w:rPr>
      <w:color w:val="800080"/>
      <w:u w:val="single"/>
    </w:rPr>
  </w:style>
  <w:style w:type="character" w:styleId="24">
    <w:name w:val="Emphasis"/>
    <w:qFormat/>
    <w:uiPriority w:val="0"/>
    <w:rPr>
      <w:i/>
      <w:iCs/>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日期 字符"/>
    <w:link w:val="8"/>
    <w:qFormat/>
    <w:uiPriority w:val="0"/>
    <w:rPr>
      <w:rFonts w:ascii="宋体"/>
      <w:kern w:val="2"/>
      <w:sz w:val="24"/>
    </w:rPr>
  </w:style>
  <w:style w:type="character" w:customStyle="1" w:styleId="28">
    <w:name w:val="Hyperlink1"/>
    <w:qFormat/>
    <w:uiPriority w:val="0"/>
    <w:rPr>
      <w:color w:val="0000FF"/>
      <w:u w:val="single"/>
    </w:rPr>
  </w:style>
  <w:style w:type="character" w:customStyle="1" w:styleId="29">
    <w:name w:val="FollowedHyperlink1"/>
    <w:qFormat/>
    <w:uiPriority w:val="0"/>
    <w:rPr>
      <w:color w:val="800080"/>
      <w:u w:val="single"/>
    </w:rPr>
  </w:style>
  <w:style w:type="character" w:customStyle="1" w:styleId="30">
    <w:name w:val="批注主题 字符"/>
    <w:link w:val="16"/>
    <w:qFormat/>
    <w:uiPriority w:val="0"/>
    <w:rPr>
      <w:b/>
      <w:bCs/>
      <w:kern w:val="2"/>
      <w:sz w:val="24"/>
    </w:rPr>
  </w:style>
  <w:style w:type="character" w:customStyle="1" w:styleId="31">
    <w:name w:val="访问过的超链接1"/>
    <w:qFormat/>
    <w:uiPriority w:val="0"/>
    <w:rPr>
      <w:color w:val="800080"/>
      <w:u w:val="single"/>
    </w:rPr>
  </w:style>
  <w:style w:type="character" w:customStyle="1" w:styleId="32">
    <w:name w:val="超链接1"/>
    <w:qFormat/>
    <w:uiPriority w:val="0"/>
    <w:rPr>
      <w:color w:val="0000FF"/>
      <w:u w:val="single"/>
    </w:rPr>
  </w:style>
  <w:style w:type="character" w:customStyle="1" w:styleId="33">
    <w:name w:val="批注文字 字符"/>
    <w:link w:val="4"/>
    <w:qFormat/>
    <w:uiPriority w:val="0"/>
    <w:rPr>
      <w:kern w:val="2"/>
      <w:sz w:val="24"/>
    </w:rPr>
  </w:style>
  <w:style w:type="paragraph" w:styleId="34">
    <w:name w:val="List Paragraph"/>
    <w:basedOn w:val="1"/>
    <w:qFormat/>
    <w:uiPriority w:val="34"/>
    <w:pPr>
      <w:adjustRightInd/>
      <w:ind w:firstLine="420" w:firstLineChars="200"/>
      <w:jc w:val="both"/>
      <w:textAlignment w:val="auto"/>
    </w:pPr>
    <w:rPr>
      <w:rFonts w:ascii="Calibri" w:hAnsi="Calibri"/>
      <w:sz w:val="21"/>
      <w:szCs w:val="22"/>
    </w:rPr>
  </w:style>
  <w:style w:type="paragraph" w:customStyle="1" w:styleId="35">
    <w:name w:val="Char"/>
    <w:basedOn w:val="1"/>
    <w:qFormat/>
    <w:uiPriority w:val="0"/>
    <w:pPr>
      <w:adjustRightInd/>
      <w:jc w:val="both"/>
      <w:textAlignment w:val="auto"/>
    </w:pPr>
    <w:rPr>
      <w:sz w:val="21"/>
    </w:rPr>
  </w:style>
  <w:style w:type="paragraph" w:customStyle="1" w:styleId="36">
    <w:name w:val="正文文本 21"/>
    <w:basedOn w:val="1"/>
    <w:qFormat/>
    <w:uiPriority w:val="0"/>
    <w:pPr>
      <w:spacing w:line="360" w:lineRule="auto"/>
      <w:ind w:left="1200"/>
    </w:pPr>
    <w:rPr>
      <w:rFonts w:ascii="宋体"/>
      <w:spacing w:val="20"/>
      <w:kern w:val="0"/>
    </w:rPr>
  </w:style>
  <w:style w:type="paragraph" w:customStyle="1" w:styleId="37">
    <w:name w:val="正文文本缩进 21"/>
    <w:basedOn w:val="1"/>
    <w:qFormat/>
    <w:uiPriority w:val="0"/>
    <w:pPr>
      <w:spacing w:line="360" w:lineRule="auto"/>
      <w:ind w:firstLine="570"/>
    </w:pPr>
    <w:rPr>
      <w:sz w:val="28"/>
    </w:rPr>
  </w:style>
  <w:style w:type="paragraph" w:customStyle="1" w:styleId="38">
    <w:name w:val="列出段落1"/>
    <w:basedOn w:val="1"/>
    <w:qFormat/>
    <w:uiPriority w:val="0"/>
    <w:pPr>
      <w:adjustRightInd/>
      <w:ind w:firstLine="420" w:firstLineChars="200"/>
      <w:jc w:val="both"/>
      <w:textAlignment w:val="auto"/>
    </w:pPr>
    <w:rPr>
      <w:rFonts w:ascii="Calibri" w:hAnsi="Calibri"/>
      <w:sz w:val="21"/>
      <w:szCs w:val="22"/>
    </w:rPr>
  </w:style>
  <w:style w:type="paragraph" w:customStyle="1" w:styleId="39">
    <w:name w:val="Body Text Indent 21"/>
    <w:basedOn w:val="1"/>
    <w:qFormat/>
    <w:uiPriority w:val="0"/>
    <w:pPr>
      <w:spacing w:line="360" w:lineRule="auto"/>
      <w:ind w:firstLine="466"/>
    </w:pPr>
    <w:rPr>
      <w:rFonts w:ascii="宋体"/>
    </w:rPr>
  </w:style>
  <w:style w:type="paragraph" w:customStyle="1" w:styleId="40">
    <w:name w:val="正文文本缩进 31"/>
    <w:basedOn w:val="1"/>
    <w:qFormat/>
    <w:uiPriority w:val="0"/>
    <w:pPr>
      <w:spacing w:line="360" w:lineRule="auto"/>
      <w:ind w:firstLine="525"/>
    </w:pPr>
    <w:rPr>
      <w:rFonts w:ascii="宋体"/>
    </w:rPr>
  </w:style>
  <w:style w:type="paragraph" w:customStyle="1" w:styleId="41">
    <w:name w:val="Body Text Indent 31"/>
    <w:basedOn w:val="1"/>
    <w:qFormat/>
    <w:uiPriority w:val="0"/>
    <w:pPr>
      <w:spacing w:line="460" w:lineRule="atLeast"/>
      <w:ind w:firstLine="405"/>
    </w:pPr>
    <w:rPr>
      <w:rFonts w:ascii="宋体"/>
    </w:rPr>
  </w:style>
  <w:style w:type="paragraph" w:customStyle="1" w:styleId="42">
    <w:name w:val="Default"/>
    <w:basedOn w:val="1"/>
    <w:qFormat/>
    <w:uiPriority w:val="0"/>
    <w:pPr>
      <w:autoSpaceDE w:val="0"/>
      <w:autoSpaceDN w:val="0"/>
      <w:textAlignment w:val="auto"/>
    </w:pPr>
    <w:rPr>
      <w:rFonts w:ascii="黑体" w:hAnsi="Calibri" w:eastAsia="黑体" w:cs="宋体"/>
      <w:color w:val="000000"/>
      <w:kern w:val="0"/>
      <w:szCs w:val="24"/>
    </w:rPr>
  </w:style>
  <w:style w:type="paragraph" w:customStyle="1" w:styleId="43">
    <w:name w:val="Char1"/>
    <w:basedOn w:val="3"/>
    <w:qFormat/>
    <w:uiPriority w:val="0"/>
    <w:pPr>
      <w:adjustRightInd/>
      <w:jc w:val="both"/>
      <w:textAlignment w:val="auto"/>
    </w:pPr>
    <w:rPr>
      <w:sz w:val="21"/>
    </w:rPr>
  </w:style>
  <w:style w:type="paragraph" w:customStyle="1" w:styleId="44">
    <w:name w:val="Body Text 21"/>
    <w:basedOn w:val="1"/>
    <w:qFormat/>
    <w:uiPriority w:val="0"/>
    <w:pPr>
      <w:spacing w:line="360" w:lineRule="auto"/>
      <w:ind w:firstLine="48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a:noFill/>
        </a:ln>
      </a:spPr>
      <a:bodyPr rot="0" vert="horz" wrap="square" lIns="91440" tIns="45720" rIns="91440" bIns="4572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7"/>
    <customShpInfo spid="_x0000_s1031"/>
    <customShpInfo spid="_x0000_s1032"/>
    <customShpInfo spid="_x0000_s1033"/>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7C493-289D-426E-96F4-E59753827B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2922</Words>
  <Characters>16658</Characters>
  <Lines>138</Lines>
  <Paragraphs>39</Paragraphs>
  <TotalTime>0</TotalTime>
  <ScaleCrop>false</ScaleCrop>
  <LinksUpToDate>false</LinksUpToDate>
  <CharactersWithSpaces>19541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2013-04-22T15:12:00Z</dcterms:created>
  <dc:creator>1</dc:creator>
  <cp:lastModifiedBy>acer</cp:lastModifiedBy>
  <cp:lastPrinted>2016-11-21T04:22:00Z</cp:lastPrinted>
  <dcterms:modified xsi:type="dcterms:W3CDTF">2020-06-20T08:42:38Z</dcterms:modified>
  <dc:title>质量手册</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