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10404-2023-EnMS-2024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浙江洪波科技股份有限公司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913305001469767194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浙江洪波科技股份有限公司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浙江省湖州市南浔区练市镇召姚线199号A楼</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浙江省湖州市南浔区练市镇召姚线199号A楼</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漆包铜圆线的生产所涉及的能源管理活动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浙江洪波科技股份有限公司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浙江省湖州市南浔区练市镇召姚线199号A楼</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浙江省湖州市南浔区练市镇召姚线199号A楼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漆包铜圆线的生产所涉及的能源管理活动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R197EnMS230200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