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hint="eastAsia" w:asciiTheme="minorEastAsia" w:hAnsiTheme="minorEastAsia" w:eastAsiaTheme="minorEastAsia" w:cstheme="minorEastAsia"/>
          <w:b/>
          <w:bCs/>
          <w:sz w:val="28"/>
          <w:szCs w:val="28"/>
        </w:rPr>
      </w:pPr>
      <w:bookmarkStart w:id="0" w:name="合同编号"/>
      <w:r>
        <w:rPr>
          <w:rFonts w:hint="eastAsia" w:asciiTheme="minorEastAsia" w:hAnsiTheme="minorEastAsia" w:eastAsiaTheme="minorEastAsia" w:cstheme="minorEastAsia"/>
          <w:b/>
          <w:bCs/>
          <w:sz w:val="28"/>
          <w:szCs w:val="28"/>
        </w:rPr>
        <w:t>0215-2020-QEO</w:t>
      </w:r>
      <w:bookmarkEnd w:id="0"/>
    </w:p>
    <w:p>
      <w:pPr>
        <w:snapToGrid w:val="0"/>
        <w:spacing w:after="94" w:afterLines="30"/>
        <w:jc w:val="center"/>
        <w:rPr>
          <w:rFonts w:hint="eastAsia" w:asciiTheme="minorEastAsia" w:hAnsiTheme="minorEastAsia" w:eastAsiaTheme="minorEastAsia" w:cstheme="minorEastAsia"/>
          <w:b/>
          <w:bCs/>
          <w:sz w:val="28"/>
          <w:szCs w:val="28"/>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简阳绿杉新能源设备有限公司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widowControl/>
        <w:ind w:firstLine="1262" w:firstLineChars="601"/>
        <w:jc w:val="left"/>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Q:29.10.07</w:t>
            </w:r>
          </w:p>
          <w:p>
            <w:pPr>
              <w:spacing w:line="240" w:lineRule="exact"/>
              <w:jc w:val="center"/>
              <w:rPr>
                <w:b/>
                <w:color w:val="000000" w:themeColor="text1"/>
                <w:sz w:val="20"/>
                <w:szCs w:val="20"/>
              </w:rPr>
            </w:pPr>
            <w:r>
              <w:rPr>
                <w:b/>
                <w:color w:val="000000" w:themeColor="text1"/>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E：GB/T 24001-2016idtISO 14001:2015,Q：GB/T 19001-2016idtISO 9001:2015,O：GB/T45001—2020/ISO 45001:2018</w:t>
      </w:r>
      <w:bookmarkEnd w:id="5"/>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简阳绿杉新能源设备有限公司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四川省成都市简阳市(510185)</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510185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四川省成都市简阳市(510185)</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510185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王杰</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18381420247</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李洪</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eastAsia" w:ascii="宋体" w:hAnsi="宋体" w:eastAsia="宋体"/>
                <w:b/>
                <w:color w:val="000000" w:themeColor="text1"/>
                <w:spacing w:val="-20"/>
                <w:sz w:val="20"/>
                <w:szCs w:val="20"/>
                <w:lang w:eastAsia="zh-CN"/>
              </w:rPr>
            </w:pPr>
            <w:bookmarkStart w:id="16" w:name="最高管理者"/>
            <w:bookmarkEnd w:id="16"/>
            <w:r>
              <w:rPr>
                <w:rFonts w:hint="eastAsia" w:ascii="宋体" w:hAnsi="宋体"/>
                <w:b/>
                <w:color w:val="000000" w:themeColor="text1"/>
                <w:spacing w:val="-20"/>
                <w:sz w:val="20"/>
                <w:szCs w:val="20"/>
                <w:lang w:eastAsia="zh-CN"/>
              </w:rPr>
              <w:t>李洪</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王杰</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E：空气分离设备、天然气净化及液化设备、生物医药设备的销售所涉及场所的相关环境管理活动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Q：空气分离设备、天然气净化及液化设备、生物医药设备的销售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O：空气分离设备、天然气净化及液化设备、生物医药设备的销售所涉及场所的相关职业健康安全管理活动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E：29.10.07</w:t>
            </w:r>
          </w:p>
          <w:p>
            <w:pPr>
              <w:spacing w:line="320" w:lineRule="exact"/>
              <w:rPr>
                <w:rFonts w:ascii="宋体" w:hAnsi="宋体"/>
                <w:b/>
                <w:color w:val="000000" w:themeColor="text1"/>
                <w:sz w:val="20"/>
                <w:szCs w:val="20"/>
              </w:rPr>
            </w:pPr>
            <w:r>
              <w:rPr>
                <w:rFonts w:ascii="宋体" w:hAnsi="宋体"/>
                <w:b/>
                <w:color w:val="000000" w:themeColor="text1"/>
                <w:sz w:val="20"/>
                <w:szCs w:val="20"/>
              </w:rPr>
              <w:t>Q：29.10.07</w:t>
            </w:r>
          </w:p>
          <w:p>
            <w:pPr>
              <w:spacing w:line="320" w:lineRule="exact"/>
              <w:rPr>
                <w:rFonts w:ascii="宋体" w:hAnsi="宋体"/>
                <w:b/>
                <w:color w:val="000000" w:themeColor="text1"/>
                <w:sz w:val="20"/>
                <w:szCs w:val="20"/>
              </w:rPr>
            </w:pPr>
            <w:r>
              <w:rPr>
                <w:rFonts w:ascii="宋体" w:hAnsi="宋体"/>
                <w:b/>
                <w:color w:val="000000" w:themeColor="text1"/>
                <w:sz w:val="20"/>
                <w:szCs w:val="20"/>
              </w:rPr>
              <w:t>O：29.10.07</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2019-12-18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商务</w:t>
            </w:r>
            <w:r>
              <w:rPr>
                <w:rFonts w:hint="eastAsia" w:ascii="宋体" w:hAnsi="宋体"/>
                <w:b/>
                <w:color w:val="000000" w:themeColor="text1"/>
                <w:sz w:val="20"/>
                <w:szCs w:val="20"/>
              </w:rPr>
              <w:t>部（含财务部）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营销</w:t>
            </w:r>
            <w:r>
              <w:rPr>
                <w:rFonts w:hint="eastAsia" w:ascii="宋体" w:hAnsi="宋体"/>
                <w:b/>
                <w:color w:val="000000" w:themeColor="text1"/>
                <w:sz w:val="20"/>
                <w:szCs w:val="20"/>
              </w:rPr>
              <w:t>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不合格品控制；纠正和预防措施控制；策划管理；过程监控管理；合同管理；采购管理；产品验收管理；监视和测量设备管理；服务过程管理；设备设施管理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空气分离设备、天然气净化及液化设备、生物医药设备的销售</w:t>
            </w:r>
          </w:p>
        </w:tc>
        <w:tc>
          <w:tcPr>
            <w:tcW w:w="2519" w:type="dxa"/>
          </w:tcPr>
          <w:p>
            <w:pPr>
              <w:rPr>
                <w:b/>
                <w:color w:val="000000" w:themeColor="text1"/>
                <w:sz w:val="20"/>
                <w:szCs w:val="20"/>
              </w:rPr>
            </w:pPr>
            <w:r>
              <w:rPr>
                <w:rFonts w:hint="eastAsia"/>
                <w:b/>
                <w:sz w:val="20"/>
                <w:szCs w:val="20"/>
              </w:rPr>
              <w:t>服务</w:t>
            </w:r>
          </w:p>
        </w:tc>
        <w:tc>
          <w:tcPr>
            <w:tcW w:w="1843" w:type="dxa"/>
          </w:tcPr>
          <w:p>
            <w:pPr>
              <w:rPr>
                <w:b/>
                <w:color w:val="000000" w:themeColor="text1"/>
                <w:sz w:val="20"/>
                <w:szCs w:val="20"/>
              </w:rPr>
            </w:pPr>
          </w:p>
        </w:tc>
        <w:tc>
          <w:tcPr>
            <w:tcW w:w="3543" w:type="dxa"/>
          </w:tcPr>
          <w:p>
            <w:pPr>
              <w:spacing w:line="400" w:lineRule="exact"/>
              <w:rPr>
                <w:szCs w:val="21"/>
              </w:rPr>
            </w:pPr>
            <w:r>
              <w:rPr>
                <w:rFonts w:ascii="宋体" w:hAnsi="宋体" w:eastAsia="宋体" w:cs="宋体"/>
                <w:sz w:val="21"/>
                <w:szCs w:val="21"/>
                <w:highlight w:val="none"/>
              </w:rPr>
              <w:t>GBT36227-2018特大型空气分离设备国家标准</w:t>
            </w:r>
            <w:r>
              <w:rPr>
                <w:rFonts w:hint="eastAsia" w:ascii="宋体" w:hAnsi="宋体" w:eastAsia="宋体" w:cs="宋体"/>
                <w:sz w:val="21"/>
                <w:szCs w:val="21"/>
                <w:highlight w:val="none"/>
                <w:lang w:eastAsia="zh-CN"/>
              </w:rPr>
              <w:t>、</w:t>
            </w:r>
            <w:r>
              <w:rPr>
                <w:rFonts w:ascii="宋体" w:hAnsi="宋体" w:eastAsia="宋体" w:cs="宋体"/>
                <w:sz w:val="21"/>
                <w:szCs w:val="21"/>
                <w:highlight w:val="none"/>
              </w:rPr>
              <w:t>ＺＢＪ760151—89《小型空气分离设备技术条件》和ＺＢＪ760152—89《小型空气分离设备性能试验方法》</w:t>
            </w:r>
            <w:r>
              <w:rPr>
                <w:rFonts w:hint="eastAsia" w:ascii="宋体" w:hAnsi="宋体" w:eastAsia="宋体" w:cs="宋体"/>
                <w:sz w:val="21"/>
                <w:szCs w:val="21"/>
                <w:highlight w:val="none"/>
                <w:lang w:eastAsia="zh-CN"/>
              </w:rPr>
              <w:t>、</w:t>
            </w:r>
            <w:r>
              <w:rPr>
                <w:rFonts w:hint="default" w:ascii="宋体" w:hAnsi="宋体" w:eastAsia="宋体" w:cs="Times New Roman"/>
                <w:b w:val="0"/>
                <w:color w:val="000000"/>
                <w:kern w:val="2"/>
                <w:sz w:val="21"/>
                <w:szCs w:val="21"/>
                <w:highlight w:val="none"/>
                <w:lang w:val="en-US" w:eastAsia="zh-CN" w:bidi="ar-SA"/>
              </w:rPr>
              <w:t>天然气分离与液化设备 术语</w:t>
            </w:r>
            <w:r>
              <w:rPr>
                <w:rFonts w:hint="eastAsia" w:ascii="宋体" w:hAnsi="宋体" w:eastAsia="宋体" w:cs="Times New Roman"/>
                <w:b w:val="0"/>
                <w:color w:val="000000"/>
                <w:kern w:val="2"/>
                <w:sz w:val="21"/>
                <w:szCs w:val="21"/>
                <w:highlight w:val="none"/>
                <w:lang w:val="en-US" w:eastAsia="zh-CN" w:bidi="ar-SA"/>
              </w:rPr>
              <w:t>JB/T 7551-1994</w:t>
            </w:r>
            <w:r>
              <w:rPr>
                <w:rFonts w:hint="eastAsia"/>
                <w:sz w:val="21"/>
                <w:szCs w:val="21"/>
                <w:highlight w:val="none"/>
              </w:rPr>
              <w:t>、</w:t>
            </w:r>
            <w:r>
              <w:rPr>
                <w:rFonts w:hint="default" w:ascii="宋体" w:hAnsi="宋体" w:eastAsia="宋体" w:cs="Times New Roman"/>
                <w:b w:val="0"/>
                <w:color w:val="000000"/>
                <w:kern w:val="2"/>
                <w:sz w:val="21"/>
                <w:szCs w:val="21"/>
                <w:highlight w:val="none"/>
                <w:lang w:val="en-US" w:eastAsia="zh-CN" w:bidi="ar-SA"/>
              </w:rPr>
              <w:t>空气分离设备术语</w:t>
            </w:r>
            <w:r>
              <w:rPr>
                <w:rFonts w:hint="eastAsia" w:ascii="宋体" w:hAnsi="宋体" w:eastAsia="宋体" w:cs="Times New Roman"/>
                <w:b w:val="0"/>
                <w:color w:val="000000"/>
                <w:kern w:val="2"/>
                <w:sz w:val="21"/>
                <w:szCs w:val="21"/>
                <w:highlight w:val="none"/>
                <w:lang w:val="en-US" w:eastAsia="zh-CN" w:bidi="ar-SA"/>
              </w:rPr>
              <w:t>GB/T 10606-2008</w:t>
            </w:r>
            <w:r>
              <w:rPr>
                <w:rFonts w:hint="eastAsia"/>
                <w:szCs w:val="21"/>
              </w:rPr>
              <w:t>和合同协议等。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体系运行开始的2019年12月</w:t>
      </w:r>
      <w:bookmarkStart w:id="21" w:name="OLE_LINK1"/>
      <w:r>
        <w:rPr>
          <w:rFonts w:hint="eastAsia"/>
          <w:b/>
          <w:color w:val="000000" w:themeColor="text1"/>
          <w:spacing w:val="-10"/>
          <w:szCs w:val="21"/>
        </w:rPr>
        <w:t>1</w:t>
      </w:r>
      <w:r>
        <w:rPr>
          <w:rFonts w:hint="eastAsia"/>
          <w:b/>
          <w:color w:val="000000" w:themeColor="text1"/>
          <w:spacing w:val="-10"/>
          <w:szCs w:val="21"/>
          <w:lang w:val="en-US" w:eastAsia="zh-CN"/>
        </w:rPr>
        <w:t>8</w:t>
      </w:r>
      <w:r>
        <w:rPr>
          <w:rFonts w:hint="eastAsia"/>
          <w:b/>
          <w:color w:val="000000" w:themeColor="text1"/>
          <w:spacing w:val="-10"/>
          <w:szCs w:val="21"/>
        </w:rPr>
        <w:t>日</w:t>
      </w:r>
      <w:bookmarkEnd w:id="21"/>
      <w:r>
        <w:rPr>
          <w:rFonts w:hint="eastAsia"/>
          <w:b/>
          <w:color w:val="000000" w:themeColor="text1"/>
          <w:spacing w:val="-10"/>
          <w:szCs w:val="21"/>
        </w:rPr>
        <w:t>至2020年</w:t>
      </w:r>
      <w:r>
        <w:rPr>
          <w:rFonts w:hint="eastAsia"/>
          <w:b/>
          <w:color w:val="000000" w:themeColor="text1"/>
          <w:spacing w:val="-10"/>
          <w:szCs w:val="21"/>
          <w:lang w:val="en-US" w:eastAsia="zh-CN"/>
        </w:rPr>
        <w:t>5</w:t>
      </w:r>
      <w:r>
        <w:rPr>
          <w:rFonts w:hint="eastAsia"/>
          <w:b/>
          <w:color w:val="000000" w:themeColor="text1"/>
          <w:spacing w:val="-10"/>
          <w:szCs w:val="21"/>
        </w:rPr>
        <w:t>月26日。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highlight w:val="none"/>
              </w:rPr>
            </w:pPr>
            <w:r>
              <w:rPr>
                <w:rFonts w:ascii="宋体" w:hAnsi="宋体"/>
                <w:b/>
                <w:szCs w:val="21"/>
                <w:highlight w:val="none"/>
              </w:rPr>
              <w:t>(</w:t>
            </w:r>
            <w:r>
              <w:rPr>
                <w:rFonts w:hint="eastAsia" w:ascii="宋体" w:hAnsi="宋体"/>
                <w:b/>
                <w:szCs w:val="21"/>
                <w:highlight w:val="none"/>
              </w:rPr>
              <w:t>一</w:t>
            </w:r>
            <w:r>
              <w:rPr>
                <w:rFonts w:ascii="宋体" w:hAnsi="宋体"/>
                <w:b/>
                <w:szCs w:val="21"/>
                <w:highlight w:val="none"/>
              </w:rPr>
              <w:t>)</w:t>
            </w:r>
            <w:r>
              <w:rPr>
                <w:rFonts w:hint="eastAsia" w:ascii="宋体" w:hAnsi="宋体"/>
                <w:b/>
                <w:szCs w:val="21"/>
                <w:highlight w:val="none"/>
              </w:rPr>
              <w:t>策划的充分与合理性</w:t>
            </w:r>
          </w:p>
        </w:tc>
        <w:tc>
          <w:tcPr>
            <w:tcW w:w="9198" w:type="dxa"/>
          </w:tcPr>
          <w:p>
            <w:pPr>
              <w:spacing w:line="240" w:lineRule="exact"/>
              <w:rPr>
                <w:rFonts w:ascii="宋体" w:hAnsi="宋体"/>
                <w:b/>
                <w:szCs w:val="21"/>
                <w:highlight w:val="none"/>
              </w:rPr>
            </w:pPr>
            <w:r>
              <w:rPr>
                <w:rFonts w:ascii="宋体" w:hAnsi="宋体"/>
                <w:b/>
                <w:szCs w:val="21"/>
                <w:highlight w:val="none"/>
              </w:rPr>
              <w:t>1</w:t>
            </w:r>
            <w:r>
              <w:rPr>
                <w:rFonts w:hint="eastAsia" w:ascii="宋体" w:hAnsi="宋体"/>
                <w:b/>
                <w:szCs w:val="21"/>
                <w:highlight w:val="none"/>
              </w:rPr>
              <w:t>、组织及其环境的识别情况</w:t>
            </w:r>
          </w:p>
          <w:p>
            <w:pPr>
              <w:spacing w:line="0" w:lineRule="atLeast"/>
              <w:ind w:firstLine="420" w:firstLineChars="200"/>
              <w:jc w:val="left"/>
              <w:rPr>
                <w:rFonts w:ascii="宋体" w:hAnsi="宋体"/>
                <w:b/>
                <w:szCs w:val="21"/>
                <w:highlight w:val="none"/>
              </w:rPr>
            </w:pPr>
            <w:r>
              <w:rPr>
                <w:rFonts w:hint="eastAsia" w:asciiTheme="minorEastAsia" w:hAnsiTheme="minorEastAsia" w:eastAsiaTheme="minorEastAsia" w:cstheme="minorEastAsia"/>
                <w:szCs w:val="21"/>
                <w:highlight w:val="none"/>
                <w:lang w:val="en-US" w:eastAsia="zh-CN"/>
              </w:rPr>
              <w:t>简阳绿杉新能源设备有限公司坐落于四川省简阳市十里坝工业园区内，</w:t>
            </w:r>
            <w:r>
              <w:rPr>
                <w:rFonts w:hint="eastAsia" w:asciiTheme="minorEastAsia" w:hAnsiTheme="minorEastAsia" w:eastAsiaTheme="minorEastAsia" w:cstheme="minorEastAsia"/>
                <w:szCs w:val="21"/>
                <w:highlight w:val="none"/>
              </w:rPr>
              <w:t>成立于20</w:t>
            </w:r>
            <w:r>
              <w:rPr>
                <w:rFonts w:hint="eastAsia" w:asciiTheme="minorEastAsia" w:hAnsiTheme="minorEastAsia" w:eastAsiaTheme="minorEastAsia" w:cstheme="minorEastAsia"/>
                <w:szCs w:val="21"/>
                <w:highlight w:val="none"/>
                <w:lang w:val="en-US" w:eastAsia="zh-CN"/>
              </w:rPr>
              <w:t>16</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lang w:val="en-US" w:eastAsia="zh-CN"/>
              </w:rPr>
              <w:t>27</w:t>
            </w:r>
            <w:r>
              <w:rPr>
                <w:rFonts w:hint="eastAsia" w:asciiTheme="minorEastAsia" w:hAnsiTheme="minorEastAsia" w:eastAsiaTheme="minorEastAsia" w:cstheme="minorEastAsia"/>
                <w:szCs w:val="21"/>
                <w:highlight w:val="none"/>
              </w:rPr>
              <w:t>日，主要经营空气分离设备、天然气净化及液化设备、生物医药设备的销售。</w:t>
            </w:r>
            <w:r>
              <w:rPr>
                <w:rFonts w:hint="eastAsia" w:ascii="宋体" w:hAnsi="宋体"/>
                <w:szCs w:val="21"/>
                <w:highlight w:val="none"/>
              </w:rPr>
              <w:t>现有员工2</w:t>
            </w:r>
            <w:r>
              <w:rPr>
                <w:rFonts w:hint="eastAsia" w:ascii="宋体" w:hAnsi="宋体"/>
                <w:szCs w:val="21"/>
                <w:highlight w:val="none"/>
                <w:lang w:val="en-US" w:eastAsia="zh-CN"/>
              </w:rPr>
              <w:t>2</w:t>
            </w:r>
            <w:r>
              <w:rPr>
                <w:rFonts w:hint="eastAsia" w:ascii="宋体" w:hAnsi="宋体"/>
                <w:szCs w:val="21"/>
                <w:highlight w:val="none"/>
              </w:rPr>
              <w:t>人，目前经营情况良好。组织对内外部因素、相关方需求和期望进行了充分的识别，策划和实施有效。确定了体系的边界，基本适用。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400" w:lineRule="exact"/>
              <w:rPr>
                <w:rFonts w:hint="eastAsia" w:ascii="Times New Roman" w:hAnsi="Times New Roman" w:eastAsia="宋体" w:cs="Times New Roman"/>
                <w:sz w:val="21"/>
                <w:szCs w:val="21"/>
                <w:highlight w:val="none"/>
              </w:rPr>
            </w:pPr>
            <w:r>
              <w:rPr>
                <w:rFonts w:hint="eastAsia"/>
                <w:sz w:val="21"/>
                <w:szCs w:val="21"/>
                <w:highlight w:val="none"/>
              </w:rPr>
              <w:t>质量</w:t>
            </w:r>
            <w:r>
              <w:rPr>
                <w:rFonts w:hint="eastAsia"/>
                <w:sz w:val="21"/>
                <w:szCs w:val="21"/>
                <w:highlight w:val="none"/>
                <w:lang w:eastAsia="zh-CN"/>
              </w:rPr>
              <w:t>、</w:t>
            </w:r>
            <w:r>
              <w:rPr>
                <w:rFonts w:hint="eastAsia"/>
                <w:sz w:val="21"/>
                <w:szCs w:val="21"/>
                <w:highlight w:val="none"/>
              </w:rPr>
              <w:t>环境</w:t>
            </w:r>
            <w:r>
              <w:rPr>
                <w:rFonts w:hint="eastAsia"/>
                <w:sz w:val="21"/>
                <w:szCs w:val="21"/>
                <w:highlight w:val="none"/>
                <w:lang w:eastAsia="zh-CN"/>
              </w:rPr>
              <w:t>、</w:t>
            </w:r>
            <w:r>
              <w:rPr>
                <w:rFonts w:hint="eastAsia"/>
                <w:sz w:val="21"/>
                <w:szCs w:val="21"/>
                <w:highlight w:val="none"/>
              </w:rPr>
              <w:t xml:space="preserve">职业健康安全方针： </w:t>
            </w:r>
            <w:r>
              <w:rPr>
                <w:rFonts w:hint="eastAsia"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质量为本，增强满意；关爱环境，关注健康</w:t>
            </w:r>
            <w:r>
              <w:rPr>
                <w:rFonts w:hint="eastAsia" w:ascii="Times New Roman" w:hAnsi="Times New Roman" w:eastAsia="宋体" w:cs="Times New Roman"/>
                <w:sz w:val="21"/>
                <w:szCs w:val="21"/>
                <w:highlight w:val="none"/>
              </w:rPr>
              <w:t xml:space="preserve"> ”。</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w:t>
            </w:r>
            <w:r>
              <w:rPr>
                <w:rFonts w:hint="eastAsia" w:ascii="宋体" w:hAnsi="宋体"/>
                <w:b/>
                <w:color w:val="000000" w:themeColor="text1"/>
                <w:sz w:val="20"/>
                <w:szCs w:val="20"/>
                <w:lang w:eastAsia="zh-CN"/>
              </w:rPr>
              <w:t>产品验收、产品销售</w:t>
            </w:r>
            <w:r>
              <w:rPr>
                <w:rFonts w:hint="eastAsia" w:ascii="宋体" w:hAnsi="宋体"/>
                <w:b/>
                <w:color w:val="000000" w:themeColor="text1"/>
                <w:sz w:val="20"/>
                <w:szCs w:val="20"/>
              </w:rPr>
              <w:t>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销售</w:t>
            </w:r>
            <w:r>
              <w:rPr>
                <w:rFonts w:hint="eastAsia" w:ascii="宋体" w:hAnsi="宋体"/>
                <w:b/>
                <w:color w:val="000000" w:themeColor="text1"/>
                <w:sz w:val="20"/>
                <w:szCs w:val="20"/>
              </w:rPr>
              <w:t>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w:t>
            </w:r>
          </w:p>
          <w:p>
            <w:pPr>
              <w:tabs>
                <w:tab w:val="left" w:pos="540"/>
              </w:tabs>
              <w:spacing w:line="300" w:lineRule="exact"/>
              <w:ind w:left="211" w:hanging="211" w:hangingChars="100"/>
              <w:rPr>
                <w:rFonts w:ascii="宋体" w:hAnsi="宋体"/>
                <w:b/>
                <w:szCs w:val="21"/>
              </w:rPr>
            </w:pPr>
            <w:r>
              <w:rPr>
                <w:rFonts w:ascii="宋体" w:hAnsi="宋体"/>
                <w:b/>
                <w:szCs w:val="21"/>
              </w:rPr>
              <w:pict>
                <v:shape id="_x0000_s2050" o:spid="_x0000_s2050"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ascii="宋体" w:hAnsi="宋体"/>
                <w:b/>
                <w:szCs w:val="21"/>
              </w:rPr>
              <w:pict>
                <v:shape id="_x0000_s2051" o:spid="_x0000_s2051"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ascii="宋体" w:hAnsi="宋体" w:eastAsia="宋体" w:cs="宋体"/>
                <w:color w:val="000000"/>
                <w:sz w:val="21"/>
                <w:szCs w:val="21"/>
                <w:highlight w:val="none"/>
                <w:u w:val="single"/>
              </w:rPr>
              <w:t>公司依照客户的技术要求和</w:t>
            </w:r>
            <w:r>
              <w:rPr>
                <w:rFonts w:hint="eastAsia" w:ascii="宋体" w:hAnsi="宋体" w:eastAsia="宋体" w:cs="宋体"/>
                <w:color w:val="000000"/>
                <w:sz w:val="21"/>
                <w:szCs w:val="21"/>
                <w:highlight w:val="none"/>
                <w:u w:val="single"/>
                <w:lang w:val="en-US" w:eastAsia="zh-CN"/>
              </w:rPr>
              <w:t>技术</w:t>
            </w:r>
            <w:r>
              <w:rPr>
                <w:rFonts w:hint="eastAsia" w:ascii="宋体" w:hAnsi="宋体" w:eastAsia="宋体" w:cs="宋体"/>
                <w:color w:val="000000"/>
                <w:sz w:val="21"/>
                <w:szCs w:val="21"/>
                <w:highlight w:val="none"/>
                <w:u w:val="single"/>
              </w:rPr>
              <w:t>进行</w:t>
            </w:r>
            <w:r>
              <w:rPr>
                <w:rFonts w:hint="eastAsia" w:ascii="宋体" w:hAnsi="宋体" w:eastAsia="宋体" w:cs="宋体"/>
                <w:color w:val="000000"/>
                <w:sz w:val="21"/>
                <w:szCs w:val="21"/>
                <w:highlight w:val="none"/>
                <w:u w:val="single"/>
                <w:lang w:val="en-US" w:eastAsia="zh-CN"/>
              </w:rPr>
              <w:t>服务</w:t>
            </w:r>
            <w:r>
              <w:rPr>
                <w:rFonts w:hint="eastAsia" w:ascii="宋体" w:hAnsi="宋体" w:eastAsia="宋体" w:cs="宋体"/>
                <w:color w:val="000000"/>
                <w:sz w:val="21"/>
                <w:szCs w:val="21"/>
                <w:highlight w:val="none"/>
                <w:u w:val="single"/>
              </w:rPr>
              <w:t>，不进行产品和服务的设计和开发</w:t>
            </w:r>
            <w:r>
              <w:rPr>
                <w:rFonts w:hint="eastAsia" w:ascii="宋体" w:hAnsi="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szCs w:val="21"/>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10" w:firstLineChars="100"/>
              <w:rPr>
                <w:rFonts w:ascii="宋体" w:hAnsi="宋体"/>
                <w:b/>
                <w:szCs w:val="21"/>
              </w:rPr>
            </w:pPr>
            <w:r>
              <w:rPr>
                <w:rFonts w:hint="eastAsia" w:ascii="宋体" w:hAnsi="宋体" w:cs="宋体"/>
                <w:color w:val="000000" w:themeColor="text1"/>
                <w:szCs w:val="21"/>
              </w:rPr>
              <w:t>组织建立了危险源识别、评价控制程序，识别评价了危险源、风险相关的过程，评价出了重要危险源，与之相关的过程有</w:t>
            </w:r>
            <w:r>
              <w:rPr>
                <w:rFonts w:hint="eastAsia" w:ascii="宋体" w:hAnsi="宋体" w:cs="宋体"/>
                <w:color w:val="000000" w:themeColor="text1"/>
                <w:szCs w:val="21"/>
                <w:lang w:eastAsia="zh-CN"/>
              </w:rPr>
              <w:t>销售及售后服务</w:t>
            </w:r>
            <w:r>
              <w:rPr>
                <w:rFonts w:hint="eastAsia" w:ascii="宋体" w:hAnsi="宋体" w:cs="宋体"/>
                <w:color w:val="000000" w:themeColor="text1"/>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质量</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环境、职业健康安全目标</w:t>
            </w:r>
            <w:r>
              <w:rPr>
                <w:rFonts w:hint="eastAsia" w:asciiTheme="minorEastAsia" w:hAnsiTheme="minorEastAsia" w:eastAsiaTheme="minorEastAsia" w:cstheme="minorEastAsia"/>
                <w:sz w:val="21"/>
                <w:szCs w:val="21"/>
                <w:highlight w:val="none"/>
                <w:lang w:val="en-US" w:eastAsia="zh-CN"/>
              </w:rPr>
              <w:t xml:space="preserve">    考核完成情况（2020年1月-4月）</w:t>
            </w:r>
          </w:p>
          <w:p>
            <w:pPr>
              <w:numPr>
                <w:ilvl w:val="0"/>
                <w:numId w:val="4"/>
              </w:numPr>
              <w:tabs>
                <w:tab w:val="left" w:pos="3731"/>
              </w:tabs>
              <w:adjustRightInd w:val="0"/>
              <w:snapToGrid w:val="0"/>
              <w:spacing w:line="312" w:lineRule="auto"/>
              <w:rPr>
                <w:rFonts w:hint="default" w:ascii="宋体" w:hAnsi="宋体" w:eastAsiaTheme="minorEastAsia"/>
                <w:color w:val="000000"/>
                <w:sz w:val="21"/>
                <w:szCs w:val="21"/>
                <w:highlight w:val="none"/>
                <w:lang w:val="en-US" w:eastAsia="zh-CN"/>
              </w:rPr>
            </w:pPr>
            <w:r>
              <w:rPr>
                <w:rFonts w:hint="eastAsia" w:ascii="宋体" w:hAnsi="宋体" w:eastAsia="宋体" w:cs="宋体"/>
                <w:b w:val="0"/>
                <w:bCs w:val="0"/>
                <w:sz w:val="21"/>
                <w:szCs w:val="21"/>
                <w:highlight w:val="none"/>
              </w:rPr>
              <w:t>产品交付合格率</w:t>
            </w:r>
            <w:r>
              <w:rPr>
                <w:rFonts w:hint="eastAsia" w:ascii="宋体" w:hAnsi="宋体" w:eastAsia="宋体" w:cs="宋体"/>
                <w:b w:val="0"/>
                <w:bCs w:val="0"/>
                <w:sz w:val="21"/>
                <w:szCs w:val="21"/>
                <w:highlight w:val="none"/>
                <w:lang w:val="en-US" w:eastAsia="zh-CN"/>
              </w:rPr>
              <w:t>98</w:t>
            </w:r>
            <w:r>
              <w:rPr>
                <w:rFonts w:hint="eastAsia" w:ascii="宋体" w:hAnsi="宋体" w:eastAsia="宋体" w:cs="宋体"/>
                <w:b w:val="0"/>
                <w:bCs w:val="0"/>
                <w:sz w:val="21"/>
                <w:szCs w:val="21"/>
                <w:highlight w:val="none"/>
              </w:rPr>
              <w:t>%</w:t>
            </w:r>
            <w:r>
              <w:rPr>
                <w:rFonts w:hint="eastAsia" w:asciiTheme="minorEastAsia" w:hAnsiTheme="minorEastAsia" w:eastAsiaTheme="minorEastAsia" w:cstheme="minorEastAsia"/>
                <w:color w:val="000000"/>
                <w:sz w:val="21"/>
                <w:szCs w:val="21"/>
                <w:highlight w:val="none"/>
              </w:rPr>
              <w:t>； </w:t>
            </w:r>
            <w:r>
              <w:rPr>
                <w:rFonts w:hint="eastAsia" w:asciiTheme="minorEastAsia" w:hAnsiTheme="minorEastAsia" w:eastAsiaTheme="minorEastAsia" w:cstheme="minorEastAsia"/>
                <w:color w:val="000000"/>
                <w:sz w:val="21"/>
                <w:szCs w:val="21"/>
                <w:highlight w:val="none"/>
                <w:lang w:val="en-US" w:eastAsia="zh-CN"/>
              </w:rPr>
              <w:t xml:space="preserve">             实测：100%</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highlight w:val="none"/>
                <w:lang w:val="en-US" w:eastAsia="zh-CN"/>
              </w:rPr>
            </w:pPr>
            <w:r>
              <w:rPr>
                <w:rFonts w:hint="eastAsia" w:ascii="宋体" w:hAnsi="宋体"/>
                <w:color w:val="000000"/>
                <w:sz w:val="21"/>
                <w:szCs w:val="21"/>
                <w:highlight w:val="none"/>
              </w:rPr>
              <w:t>2) </w:t>
            </w:r>
            <w:r>
              <w:rPr>
                <w:rFonts w:hint="eastAsia" w:ascii="宋体" w:hAnsi="宋体" w:eastAsia="宋体" w:cs="宋体"/>
                <w:b w:val="0"/>
                <w:bCs w:val="0"/>
                <w:sz w:val="21"/>
                <w:szCs w:val="21"/>
                <w:highlight w:val="none"/>
              </w:rPr>
              <w:t>顾客满意度</w:t>
            </w:r>
            <w:r>
              <w:rPr>
                <w:rFonts w:hint="eastAsia" w:ascii="宋体" w:hAnsi="宋体"/>
                <w:color w:val="000000"/>
                <w:sz w:val="21"/>
                <w:szCs w:val="21"/>
                <w:highlight w:val="none"/>
              </w:rPr>
              <w:t>≥90分</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 </w:t>
            </w:r>
            <w:r>
              <w:rPr>
                <w:rFonts w:hint="eastAsia" w:ascii="宋体" w:hAnsi="宋体"/>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实测：95分</w:t>
            </w:r>
          </w:p>
          <w:p>
            <w:pPr>
              <w:tabs>
                <w:tab w:val="left" w:pos="3731"/>
              </w:tabs>
              <w:adjustRightInd w:val="0"/>
              <w:snapToGrid w:val="0"/>
              <w:spacing w:line="312" w:lineRule="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 </w:t>
            </w:r>
            <w:r>
              <w:rPr>
                <w:rFonts w:hint="eastAsia" w:ascii="宋体" w:hAnsi="宋体" w:eastAsia="宋体" w:cs="宋体"/>
                <w:b w:val="0"/>
                <w:bCs w:val="0"/>
                <w:sz w:val="21"/>
                <w:szCs w:val="21"/>
                <w:highlight w:val="none"/>
                <w:lang w:val="en-US" w:eastAsia="zh-CN"/>
              </w:rPr>
              <w:t>人员</w:t>
            </w:r>
            <w:r>
              <w:rPr>
                <w:rFonts w:hint="eastAsia" w:ascii="宋体" w:hAnsi="宋体" w:eastAsia="宋体" w:cs="宋体"/>
                <w:b w:val="0"/>
                <w:bCs w:val="0"/>
                <w:sz w:val="21"/>
                <w:szCs w:val="21"/>
                <w:highlight w:val="none"/>
              </w:rPr>
              <w:t>伤害事故为零</w:t>
            </w:r>
            <w:r>
              <w:rPr>
                <w:rFonts w:hint="eastAsia" w:asciiTheme="minorEastAsia" w:hAnsiTheme="minorEastAsia" w:eastAsiaTheme="minorEastAsia" w:cstheme="minorEastAsia"/>
                <w:sz w:val="21"/>
                <w:szCs w:val="21"/>
                <w:highlight w:val="none"/>
              </w:rPr>
              <w:t>；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实测：未发生</w:t>
            </w:r>
            <w:r>
              <w:rPr>
                <w:rFonts w:hint="eastAsia" w:ascii="宋体" w:hAnsi="宋体" w:eastAsia="宋体" w:cs="宋体"/>
                <w:b w:val="0"/>
                <w:bCs w:val="0"/>
                <w:sz w:val="21"/>
                <w:szCs w:val="21"/>
                <w:highlight w:val="none"/>
                <w:lang w:val="en-US" w:eastAsia="zh-CN"/>
              </w:rPr>
              <w:t>人员</w:t>
            </w:r>
            <w:r>
              <w:rPr>
                <w:rFonts w:hint="eastAsia" w:ascii="宋体" w:hAnsi="宋体" w:eastAsia="宋体" w:cs="宋体"/>
                <w:b w:val="0"/>
                <w:bCs w:val="0"/>
                <w:sz w:val="21"/>
                <w:szCs w:val="21"/>
                <w:highlight w:val="none"/>
              </w:rPr>
              <w:t>伤害事故</w:t>
            </w:r>
          </w:p>
          <w:p>
            <w:pPr>
              <w:tabs>
                <w:tab w:val="left" w:pos="3731"/>
              </w:tabs>
              <w:adjustRightInd w:val="0"/>
              <w:snapToGrid w:val="0"/>
              <w:spacing w:line="312" w:lineRule="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w:t>
            </w:r>
            <w:r>
              <w:rPr>
                <w:rFonts w:hint="eastAsia" w:ascii="宋体" w:hAnsi="宋体" w:eastAsia="宋体" w:cs="宋体"/>
                <w:b w:val="0"/>
                <w:bCs w:val="0"/>
                <w:sz w:val="21"/>
                <w:szCs w:val="21"/>
                <w:highlight w:val="none"/>
              </w:rPr>
              <w:t>固体废弃物有效处置率100%</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实测：100%</w:t>
            </w:r>
            <w:r>
              <w:rPr>
                <w:rFonts w:hint="eastAsia" w:asciiTheme="minorEastAsia" w:hAnsiTheme="minorEastAsia" w:eastAsiaTheme="minorEastAsia" w:cstheme="minorEastAsia"/>
                <w:sz w:val="21"/>
                <w:szCs w:val="21"/>
                <w:highlight w:val="none"/>
              </w:rPr>
              <w:t> </w:t>
            </w:r>
          </w:p>
          <w:p>
            <w:pPr>
              <w:tabs>
                <w:tab w:val="left" w:pos="3731"/>
              </w:tabs>
              <w:adjustRightInd w:val="0"/>
              <w:snapToGrid w:val="0"/>
              <w:spacing w:line="312" w:lineRule="auto"/>
              <w:rPr>
                <w:rFonts w:ascii="宋体" w:hAnsi="宋体"/>
                <w:b/>
                <w:szCs w:val="21"/>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w:t>
            </w:r>
            <w:r>
              <w:rPr>
                <w:rFonts w:hint="eastAsia" w:ascii="宋体" w:hAnsi="宋体" w:eastAsia="宋体" w:cs="宋体"/>
                <w:b w:val="0"/>
                <w:bCs w:val="0"/>
                <w:sz w:val="21"/>
                <w:szCs w:val="21"/>
                <w:highlight w:val="none"/>
              </w:rPr>
              <w:t>火灾事故为零</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实测：未发生火灾事故。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2019年12月1</w:t>
            </w:r>
            <w:r>
              <w:rPr>
                <w:rFonts w:hint="eastAsia" w:ascii="宋体" w:hAnsi="宋体" w:cs="宋体"/>
                <w:szCs w:val="21"/>
                <w:lang w:val="en-US" w:eastAsia="zh-CN"/>
              </w:rPr>
              <w:t>8</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400" w:lineRule="exact"/>
              <w:ind w:firstLine="525" w:firstLineChars="250"/>
              <w:rPr>
                <w:rFonts w:ascii="宋体" w:hAnsi="宋体"/>
                <w:b/>
                <w:szCs w:val="21"/>
              </w:rPr>
            </w:pPr>
            <w:r>
              <w:rPr>
                <w:rFonts w:hint="eastAsia" w:ascii="宋体" w:hAnsi="宋体" w:cs="宋体"/>
                <w:szCs w:val="21"/>
                <w:highlight w:val="none"/>
              </w:rPr>
              <w:t>办公面积</w:t>
            </w:r>
            <w:r>
              <w:rPr>
                <w:rFonts w:hint="eastAsia" w:ascii="宋体" w:hAnsi="宋体" w:cs="宋体"/>
                <w:szCs w:val="21"/>
                <w:highlight w:val="none"/>
                <w:lang w:val="en-US" w:eastAsia="zh-CN"/>
              </w:rPr>
              <w:t>240</w:t>
            </w:r>
            <w:r>
              <w:rPr>
                <w:rFonts w:hint="eastAsia" w:ascii="宋体" w:hAnsi="宋体" w:cs="宋体"/>
                <w:szCs w:val="21"/>
                <w:highlight w:val="none"/>
              </w:rPr>
              <w:t>平方左右，</w:t>
            </w:r>
            <w:r>
              <w:rPr>
                <w:rFonts w:hint="eastAsia" w:ascii="宋体" w:hAnsi="宋体" w:cs="宋体"/>
                <w:szCs w:val="21"/>
                <w:highlight w:val="none"/>
                <w:lang w:eastAsia="zh-CN"/>
              </w:rPr>
              <w:t>库房面积</w:t>
            </w:r>
            <w:r>
              <w:rPr>
                <w:rFonts w:hint="eastAsia" w:ascii="宋体" w:hAnsi="宋体" w:cs="宋体"/>
                <w:szCs w:val="21"/>
                <w:highlight w:val="none"/>
                <w:lang w:val="en-US" w:eastAsia="zh-CN"/>
              </w:rPr>
              <w:t>500平方米，</w:t>
            </w:r>
            <w:r>
              <w:rPr>
                <w:rFonts w:hint="eastAsia" w:ascii="宋体" w:hAnsi="宋体" w:cs="宋体"/>
                <w:szCs w:val="21"/>
                <w:highlight w:val="none"/>
              </w:rPr>
              <w:t>主要设备</w:t>
            </w:r>
            <w:r>
              <w:rPr>
                <w:rFonts w:hint="eastAsia" w:ascii="宋体" w:hAnsi="宋体" w:cs="宋体"/>
                <w:szCs w:val="21"/>
                <w:highlight w:val="none"/>
                <w:lang w:eastAsia="zh-CN"/>
              </w:rPr>
              <w:t>为行车、电脑及</w:t>
            </w:r>
            <w:r>
              <w:rPr>
                <w:rFonts w:hint="eastAsia"/>
                <w:szCs w:val="21"/>
                <w:highlight w:val="none"/>
              </w:rPr>
              <w:t>办公设备</w:t>
            </w:r>
            <w:r>
              <w:rPr>
                <w:rStyle w:val="18"/>
                <w:rFonts w:hint="eastAsia" w:ascii="宋体" w:hAnsi="宋体"/>
                <w:color w:val="auto"/>
                <w:szCs w:val="21"/>
                <w:highlight w:val="none"/>
              </w:rPr>
              <w:t>等</w:t>
            </w:r>
            <w:r>
              <w:rPr>
                <w:rFonts w:hint="eastAsia" w:ascii="宋体" w:hAnsi="宋体" w:cs="宋体"/>
                <w:color w:val="000000"/>
                <w:szCs w:val="21"/>
                <w:highlight w:val="none"/>
              </w:rPr>
              <w:t>，可以满足</w:t>
            </w:r>
            <w:r>
              <w:rPr>
                <w:rFonts w:hint="eastAsia" w:ascii="宋体" w:hAnsi="宋体"/>
                <w:szCs w:val="21"/>
                <w:highlight w:val="none"/>
              </w:rPr>
              <w:t>空气分离设备、天然气净化及液化设备、生物医药设备的销售</w:t>
            </w:r>
            <w:r>
              <w:rPr>
                <w:rFonts w:hint="eastAsia" w:ascii="宋体" w:hAnsi="宋体" w:cs="宋体"/>
                <w:color w:val="000000"/>
                <w:szCs w:val="21"/>
                <w:highlight w:val="none"/>
              </w:rPr>
              <w:t>需要。</w:t>
            </w:r>
            <w:r>
              <w:rPr>
                <w:rFonts w:hint="eastAsia" w:ascii="宋体" w:hAnsi="宋体" w:cs="宋体"/>
                <w:color w:val="000000"/>
                <w:szCs w:val="21"/>
                <w:highlight w:val="none"/>
                <w:lang w:eastAsia="zh-CN"/>
              </w:rPr>
              <w:t>商务</w:t>
            </w:r>
            <w:r>
              <w:rPr>
                <w:rFonts w:hint="eastAsia" w:ascii="宋体" w:hAnsi="宋体" w:cs="宋体"/>
                <w:szCs w:val="21"/>
                <w:highlight w:val="none"/>
              </w:rPr>
              <w:t>部对设备按月方式进行点检维护保养，并实施</w:t>
            </w:r>
            <w:r>
              <w:rPr>
                <w:rFonts w:hint="eastAsia" w:ascii="宋体" w:hAnsi="宋体" w:cs="宋体"/>
                <w:color w:val="000000"/>
                <w:szCs w:val="21"/>
                <w:highlight w:val="none"/>
              </w:rPr>
              <w:t>。特种设备：</w:t>
            </w:r>
            <w:r>
              <w:rPr>
                <w:rFonts w:hint="eastAsia"/>
                <w:szCs w:val="21"/>
                <w:highlight w:val="none"/>
                <w:lang w:eastAsia="zh-CN"/>
              </w:rPr>
              <w:t>行车</w:t>
            </w:r>
            <w:r>
              <w:rPr>
                <w:rFonts w:hint="eastAsia"/>
                <w:szCs w:val="21"/>
                <w:highlight w:val="none"/>
                <w:lang w:val="en-US" w:eastAsia="zh-CN"/>
              </w:rPr>
              <w:t>2台</w:t>
            </w:r>
            <w:r>
              <w:rPr>
                <w:rFonts w:hint="eastAsia" w:ascii="宋体" w:hAnsi="宋体"/>
                <w:szCs w:val="21"/>
                <w:highlight w:val="none"/>
              </w:rPr>
              <w:t>。</w:t>
            </w:r>
            <w:r>
              <w:rPr>
                <w:rFonts w:hint="eastAsia" w:ascii="宋体" w:hAnsi="宋体" w:cs="宋体"/>
                <w:color w:val="000000"/>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办公区域内设备布置合理，照明设施齐全，均配备了灭火器、消防栓等设施。目前公司主要</w:t>
            </w:r>
            <w:r>
              <w:rPr>
                <w:rFonts w:hint="eastAsia" w:ascii="宋体" w:hAnsi="宋体"/>
                <w:szCs w:val="21"/>
                <w:lang w:eastAsia="zh-CN"/>
              </w:rPr>
              <w:t>进行</w:t>
            </w:r>
            <w:r>
              <w:rPr>
                <w:rFonts w:hint="eastAsia" w:ascii="宋体" w:hAnsi="宋体"/>
                <w:szCs w:val="21"/>
                <w:highlight w:val="none"/>
              </w:rPr>
              <w:t>空气分离设备、天然气净化及液化设备、生物医药设备</w:t>
            </w:r>
            <w:r>
              <w:rPr>
                <w:rFonts w:hint="eastAsia" w:ascii="宋体" w:hAnsi="宋体"/>
                <w:szCs w:val="21"/>
                <w:lang w:eastAsia="zh-CN"/>
              </w:rPr>
              <w:t>销售工作对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szCs w:val="21"/>
                <w:highlight w:val="none"/>
              </w:rPr>
              <w:t>无，</w:t>
            </w:r>
            <w:r>
              <w:rPr>
                <w:rFonts w:hint="eastAsia" w:ascii="宋体" w:hAnsi="宋体" w:cs="宋体"/>
                <w:sz w:val="21"/>
                <w:szCs w:val="21"/>
                <w:highlight w:val="none"/>
              </w:rPr>
              <w:t>公司</w:t>
            </w:r>
            <w:r>
              <w:rPr>
                <w:rFonts w:hint="eastAsia" w:ascii="宋体" w:hAnsi="宋体" w:cs="宋体"/>
                <w:sz w:val="21"/>
                <w:szCs w:val="21"/>
                <w:highlight w:val="none"/>
                <w:lang w:eastAsia="zh-CN"/>
              </w:rPr>
              <w:t>销售的产品</w:t>
            </w:r>
            <w:r>
              <w:rPr>
                <w:rFonts w:hint="eastAsia" w:ascii="宋体" w:hAnsi="宋体" w:cs="宋体"/>
                <w:sz w:val="21"/>
                <w:szCs w:val="21"/>
                <w:highlight w:val="none"/>
              </w:rPr>
              <w:t>只对名称、规格型号、外观、质量证明等进行验证；</w:t>
            </w:r>
            <w:r>
              <w:rPr>
                <w:rFonts w:hint="eastAsia" w:ascii="宋体" w:hAnsi="宋体" w:cs="宋体"/>
                <w:sz w:val="21"/>
                <w:szCs w:val="21"/>
                <w:highlight w:val="none"/>
                <w:lang w:eastAsia="zh-CN"/>
              </w:rPr>
              <w:t>最终销售产品</w:t>
            </w:r>
            <w:r>
              <w:rPr>
                <w:rFonts w:hint="eastAsia" w:ascii="宋体" w:hAnsi="宋体" w:cs="宋体"/>
                <w:sz w:val="21"/>
                <w:szCs w:val="21"/>
                <w:highlight w:val="none"/>
              </w:rPr>
              <w:t>质量由</w:t>
            </w:r>
            <w:r>
              <w:rPr>
                <w:rFonts w:hint="eastAsia" w:ascii="宋体" w:hAnsi="宋体" w:cs="宋体"/>
                <w:sz w:val="21"/>
                <w:szCs w:val="21"/>
                <w:highlight w:val="none"/>
                <w:lang w:eastAsia="zh-CN"/>
              </w:rPr>
              <w:t>顾客负责验收</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b/>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b/>
                <w:szCs w:val="21"/>
              </w:rPr>
            </w:pPr>
            <w:r>
              <w:rPr>
                <w:rFonts w:hint="eastAsia" w:asciiTheme="minorEastAsia" w:hAnsiTheme="minorEastAsia" w:eastAsiaTheme="minorEastAsia"/>
                <w:bCs/>
                <w:iCs/>
                <w:szCs w:val="21"/>
              </w:rPr>
              <w:t>组织重要环境因素为</w:t>
            </w:r>
            <w:r>
              <w:rPr>
                <w:rFonts w:hint="eastAsia" w:ascii="宋体" w:hAnsi="宋体"/>
                <w:szCs w:val="21"/>
              </w:rPr>
              <w:t>潜在火灾、固废排放</w:t>
            </w:r>
            <w:r>
              <w:rPr>
                <w:rFonts w:hint="eastAsia" w:asciiTheme="minorEastAsia" w:hAnsiTheme="minorEastAsia" w:eastAsiaTheme="minorEastAsia"/>
                <w:bCs/>
                <w:iCs/>
                <w:szCs w:val="21"/>
              </w:rPr>
              <w:t>，需要应对的风险和机遇相关的过程为</w:t>
            </w:r>
            <w:r>
              <w:rPr>
                <w:rFonts w:hint="eastAsia" w:asciiTheme="minorEastAsia" w:hAnsiTheme="minorEastAsia" w:eastAsiaTheme="minorEastAsia"/>
                <w:bCs/>
                <w:iCs/>
                <w:szCs w:val="21"/>
                <w:lang w:eastAsia="zh-CN"/>
              </w:rPr>
              <w:t>产品验收</w:t>
            </w:r>
            <w:r>
              <w:rPr>
                <w:rFonts w:hint="eastAsia" w:asciiTheme="minorEastAsia" w:hAnsiTheme="minorEastAsia" w:eastAsiaTheme="minorEastAsia"/>
                <w:bCs/>
                <w:iCs/>
                <w:szCs w:val="21"/>
              </w:rPr>
              <w:t>、</w:t>
            </w:r>
            <w:r>
              <w:rPr>
                <w:rFonts w:hint="eastAsia" w:asciiTheme="minorEastAsia" w:hAnsiTheme="minorEastAsia" w:eastAsiaTheme="minorEastAsia"/>
                <w:bCs/>
                <w:iCs/>
                <w:szCs w:val="21"/>
                <w:lang w:eastAsia="zh-CN"/>
              </w:rPr>
              <w:t>产品销售</w:t>
            </w:r>
            <w:r>
              <w:rPr>
                <w:rFonts w:hint="eastAsia" w:asciiTheme="minorEastAsia" w:hAnsiTheme="minorEastAsia" w:eastAsiaTheme="minorEastAsia"/>
                <w:bCs/>
                <w:iCs/>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Cs w:val="21"/>
              </w:rPr>
            </w:pPr>
            <w:r>
              <w:rPr>
                <w:rFonts w:hint="eastAsia" w:asciiTheme="minorEastAsia" w:hAnsiTheme="minorEastAsia" w:eastAsiaTheme="minorEastAsia"/>
                <w:bCs/>
                <w:iCs/>
                <w:szCs w:val="21"/>
              </w:rPr>
              <w:t>组织建立了危险源识别、评价控制程序，识别评价了危险源、风险相关的过程，评价出了重要危险源（</w:t>
            </w:r>
            <w:r>
              <w:rPr>
                <w:rFonts w:hint="eastAsia"/>
                <w:szCs w:val="21"/>
              </w:rPr>
              <w:t>火灾、</w:t>
            </w:r>
            <w:r>
              <w:rPr>
                <w:rFonts w:hint="eastAsia"/>
                <w:szCs w:val="21"/>
                <w:lang w:eastAsia="zh-CN"/>
              </w:rPr>
              <w:t>车辆伤害</w:t>
            </w:r>
            <w:r>
              <w:rPr>
                <w:rFonts w:hint="eastAsia"/>
                <w:szCs w:val="21"/>
              </w:rPr>
              <w:t>、</w:t>
            </w:r>
            <w:r>
              <w:rPr>
                <w:rFonts w:hint="eastAsia" w:ascii="宋体" w:hAnsi="宋体"/>
                <w:color w:val="000000"/>
                <w:szCs w:val="21"/>
                <w:lang w:eastAsia="zh-CN"/>
              </w:rPr>
              <w:t>中暑</w:t>
            </w:r>
            <w:r>
              <w:rPr>
                <w:rFonts w:hint="eastAsia" w:ascii="宋体" w:hAnsi="宋体"/>
                <w:color w:val="000000"/>
                <w:szCs w:val="21"/>
              </w:rPr>
              <w:t>等</w:t>
            </w:r>
            <w:r>
              <w:rPr>
                <w:rFonts w:hint="eastAsia" w:asciiTheme="minorEastAsia" w:hAnsiTheme="minorEastAsia" w:eastAsiaTheme="minorEastAsia"/>
                <w:bCs/>
                <w:iCs/>
                <w:szCs w:val="21"/>
              </w:rPr>
              <w:t>），与之相关的过程有服务、信息处理过程，针对不可接受风险制定了管理方案。控制措施实施有效。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w:t>
            </w:r>
            <w:r>
              <w:rPr>
                <w:rFonts w:hint="eastAsia" w:ascii="宋体" w:hAnsi="宋体" w:cs="宋体"/>
                <w:color w:val="000000"/>
                <w:szCs w:val="21"/>
                <w:highlight w:val="none"/>
              </w:rPr>
              <w:t>度调查按规定实施，</w:t>
            </w:r>
            <w:r>
              <w:rPr>
                <w:rFonts w:hint="eastAsia" w:ascii="宋体" w:hAnsi="宋体" w:cs="宋体"/>
                <w:szCs w:val="21"/>
                <w:highlight w:val="none"/>
              </w:rPr>
              <w:t>2020年</w:t>
            </w:r>
            <w:r>
              <w:rPr>
                <w:rFonts w:hint="eastAsia" w:ascii="宋体" w:hAnsi="宋体" w:cs="宋体"/>
                <w:szCs w:val="21"/>
                <w:highlight w:val="none"/>
                <w:lang w:val="en-US" w:eastAsia="zh-CN"/>
              </w:rPr>
              <w:t>5</w:t>
            </w:r>
            <w:r>
              <w:rPr>
                <w:rFonts w:hint="eastAsia" w:ascii="宋体" w:hAnsi="宋体" w:cs="宋体"/>
                <w:szCs w:val="21"/>
                <w:highlight w:val="none"/>
              </w:rPr>
              <w:t>月实施，满意度评价</w:t>
            </w:r>
            <w:r>
              <w:rPr>
                <w:rFonts w:hint="eastAsia" w:ascii="宋体" w:hAnsi="宋体" w:cs="宋体"/>
                <w:szCs w:val="21"/>
                <w:highlight w:val="none"/>
                <w:lang w:val="en-US" w:eastAsia="zh-CN"/>
              </w:rPr>
              <w:t>95</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240" w:lineRule="exact"/>
              <w:ind w:firstLine="210" w:firstLineChars="100"/>
              <w:rPr>
                <w:rFonts w:ascii="宋体" w:hAnsi="宋体"/>
                <w:b/>
                <w:szCs w:val="21"/>
              </w:rPr>
            </w:pPr>
            <w:r>
              <w:rPr>
                <w:rFonts w:hint="eastAsia" w:ascii="宋体" w:hAnsi="宋体" w:cs="宋体"/>
                <w:szCs w:val="21"/>
              </w:rPr>
              <w:t>建立有《内部审核控制程序》，规定了内审频次一年一次，内审时间：</w:t>
            </w:r>
            <w:r>
              <w:rPr>
                <w:rFonts w:hint="eastAsia" w:ascii="宋体" w:hAnsi="宋体"/>
                <w:szCs w:val="21"/>
              </w:rPr>
              <w:t>2020年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val="en-US" w:eastAsia="zh-CN"/>
              </w:rPr>
              <w:t>-17日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ascii="宋体" w:hAnsi="宋体"/>
                <w:szCs w:val="21"/>
              </w:rPr>
              <w:t>涉及</w:t>
            </w:r>
            <w:r>
              <w:rPr>
                <w:rFonts w:hint="eastAsia" w:ascii="宋体" w:hAnsi="宋体"/>
                <w:szCs w:val="21"/>
                <w:lang w:eastAsia="zh-CN"/>
              </w:rPr>
              <w:t>商务</w:t>
            </w:r>
            <w:r>
              <w:rPr>
                <w:rFonts w:hint="eastAsia" w:ascii="宋体" w:hAnsi="宋体"/>
                <w:szCs w:val="21"/>
              </w:rPr>
              <w:t>部E/S</w:t>
            </w:r>
            <w:r>
              <w:rPr>
                <w:rFonts w:hint="eastAsia" w:ascii="宋体" w:hAnsi="宋体"/>
                <w:szCs w:val="21"/>
                <w:lang w:val="en-US" w:eastAsia="zh-CN"/>
              </w:rPr>
              <w:t>9.1.2</w:t>
            </w:r>
            <w:r>
              <w:rPr>
                <w:rFonts w:hint="eastAsia" w:ascii="宋体" w:hAnsi="宋体"/>
                <w:szCs w:val="21"/>
              </w:rPr>
              <w:t>条款</w:t>
            </w:r>
            <w:r>
              <w:rPr>
                <w:rFonts w:hint="eastAsia" w:ascii="宋体" w:hAnsi="宋体"/>
                <w:szCs w:val="21"/>
                <w:lang w:eastAsia="zh-CN"/>
              </w:rPr>
              <w:t>未提供合规性评价的</w:t>
            </w:r>
            <w:r>
              <w:rPr>
                <w:rFonts w:hint="eastAsia" w:ascii="宋体" w:hAnsi="宋体"/>
                <w:szCs w:val="21"/>
              </w:rPr>
              <w:t>记录，</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管理评审频次为一年一次、本次管理评审于2020年</w:t>
            </w:r>
            <w:r>
              <w:rPr>
                <w:rFonts w:hint="eastAsia" w:ascii="宋体" w:hAnsi="宋体" w:cs="宋体"/>
                <w:szCs w:val="21"/>
                <w:lang w:val="en-US" w:eastAsia="zh-CN"/>
              </w:rPr>
              <w:t>5</w:t>
            </w:r>
            <w:r>
              <w:rPr>
                <w:rFonts w:hint="eastAsia" w:ascii="宋体" w:hAnsi="宋体" w:cs="宋体"/>
                <w:szCs w:val="21"/>
              </w:rPr>
              <w:t>月1</w:t>
            </w:r>
            <w:r>
              <w:rPr>
                <w:rFonts w:hint="eastAsia" w:ascii="宋体" w:hAnsi="宋体" w:cs="宋体"/>
                <w:szCs w:val="21"/>
                <w:lang w:val="en-US" w:eastAsia="zh-CN"/>
              </w:rPr>
              <w:t>1</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ascii="宋体" w:hAnsi="宋体"/>
                <w:b/>
                <w:szCs w:val="21"/>
              </w:rPr>
            </w:pP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b/>
                <w:szCs w:val="21"/>
              </w:rPr>
            </w:pPr>
            <w:r>
              <w:rPr>
                <w:rFonts w:hint="eastAsia" w:ascii="宋体" w:hAnsi="宋体"/>
                <w:b/>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rPr>
                <w:rFonts w:ascii="宋体" w:hAnsi="宋体"/>
                <w:b/>
                <w:szCs w:val="21"/>
              </w:rPr>
            </w:pP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b/>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Cs w:val="21"/>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ind w:left="-105" w:leftChars="-50" w:firstLine="506" w:firstLineChars="252"/>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highlight w:val="none"/>
        </w:rPr>
        <w:t>1项；其中</w:t>
      </w:r>
      <w:r>
        <w:rPr>
          <w:b/>
          <w:highlight w:val="none"/>
        </w:rPr>
        <w:pict>
          <v:line id="直接连接符 1" o:spid="_x0000_s2052" o:spt="20" style="position:absolute;left:0pt;margin-left:210pt;margin-top:16.2pt;height:0pt;width:0pt;z-index:25167052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highlight w:val="none"/>
        </w:rPr>
        <w:t>严重不符合 0项，一般不符合 1项，观察项</w:t>
      </w:r>
      <w:r>
        <w:rPr>
          <w:rFonts w:hint="eastAsia"/>
          <w:b/>
          <w:highlight w:val="none"/>
          <w:lang w:val="en-US" w:eastAsia="zh-CN"/>
        </w:rPr>
        <w:t>0</w:t>
      </w:r>
      <w:r>
        <w:rPr>
          <w:rFonts w:hint="eastAsia"/>
          <w:b/>
          <w:highlight w:val="none"/>
        </w:rPr>
        <w:t>项，分</w:t>
      </w:r>
      <w:r>
        <w:rPr>
          <w:rFonts w:hint="eastAsia"/>
          <w:b/>
          <w:color w:val="000000" w:themeColor="text1"/>
          <w:highlight w:val="none"/>
        </w:rPr>
        <w:t>布在部门</w:t>
      </w:r>
      <w:r>
        <w:rPr>
          <w:rFonts w:hint="eastAsia"/>
          <w:b/>
          <w:color w:val="000000" w:themeColor="text1"/>
          <w:highlight w:val="none"/>
          <w:lang w:eastAsia="zh-CN"/>
        </w:rPr>
        <w:t>营销</w:t>
      </w:r>
      <w:r>
        <w:rPr>
          <w:rFonts w:hint="eastAsia"/>
          <w:b/>
          <w:color w:val="000000" w:themeColor="text1"/>
          <w:highlight w:val="none"/>
        </w:rPr>
        <w:t>部条款</w:t>
      </w:r>
      <w:r>
        <w:rPr>
          <w:rFonts w:hint="eastAsia"/>
          <w:b/>
          <w:color w:val="000000" w:themeColor="text1"/>
          <w:highlight w:val="none"/>
          <w:lang w:val="en-US" w:eastAsia="zh-CN"/>
        </w:rPr>
        <w:t>E/S8.2</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10080" w:type="dxa"/>
          </w:tcPr>
          <w:p>
            <w:pPr>
              <w:rPr>
                <w:b/>
                <w:color w:val="000000" w:themeColor="text1"/>
              </w:rPr>
            </w:pPr>
            <w:r>
              <w:rPr>
                <w:rFonts w:hint="eastAsia"/>
                <w:b/>
                <w:color w:val="000000" w:themeColor="text1"/>
              </w:rPr>
              <w:t>2.对审核范围适宜性结论</w:t>
            </w:r>
          </w:p>
          <w:p>
            <w:pPr>
              <w:ind w:left="-105" w:leftChars="-50"/>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szCs w:val="21"/>
              </w:rPr>
            </w:pPr>
            <w:r>
              <w:rPr>
                <w:rFonts w:ascii="宋体" w:hAnsi="宋体"/>
                <w:b/>
                <w:color w:val="000000"/>
                <w:sz w:val="20"/>
              </w:rPr>
              <w:t>QMS:</w:t>
            </w:r>
            <w:r>
              <w:rPr>
                <w:rFonts w:hint="eastAsia" w:ascii="宋体" w:hAnsi="宋体"/>
                <w:szCs w:val="21"/>
              </w:rPr>
              <w:t>空气分离设备、天然气净化及液化设备、生物医药设备的销售。</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空气分离设备、天然气净化及液化设备、生物医药设备的销售所涉及的相关环境管理活动。</w:t>
            </w:r>
          </w:p>
          <w:p>
            <w:pPr>
              <w:rPr>
                <w:b/>
                <w:color w:val="000000" w:themeColor="text1"/>
                <w:spacing w:val="-10"/>
                <w:sz w:val="22"/>
                <w:szCs w:val="22"/>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空气分离设备、天然气净化及液化设备、生物医药设备的销售所涉及的相关职业健康安全管理活动。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仿宋"/>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ascii="仿宋" w:hAnsi="仿宋" w:eastAsia="仿宋" w:cstheme="minorBidi"/>
          <w:b/>
          <w:bCs/>
          <w:color w:val="000000" w:themeColor="text1"/>
          <w:kern w:val="24"/>
          <w:sz w:val="28"/>
          <w:szCs w:val="28"/>
        </w:rPr>
        <w:t>本次审核为远程审核，后续安排现场审核核验</w:t>
      </w:r>
      <w:r>
        <w:rPr>
          <w:rFonts w:hint="eastAsia" w:ascii="仿宋" w:hAnsi="仿宋" w:eastAsia="仿宋" w:cstheme="minorBidi"/>
          <w:b/>
          <w:bCs/>
          <w:color w:val="000000" w:themeColor="text1"/>
          <w:kern w:val="24"/>
          <w:sz w:val="28"/>
          <w:szCs w:val="28"/>
          <w:lang w:eastAsia="zh-CN"/>
        </w:rPr>
        <w:t>。</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671552" behindDoc="0" locked="0" layoutInCell="1" allowOverlap="1">
            <wp:simplePos x="0" y="0"/>
            <wp:positionH relativeFrom="page">
              <wp:posOffset>2736215</wp:posOffset>
            </wp:positionH>
            <wp:positionV relativeFrom="page">
              <wp:posOffset>3681730</wp:posOffset>
            </wp:positionV>
            <wp:extent cx="720090" cy="448310"/>
            <wp:effectExtent l="0" t="0" r="11430" b="8890"/>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pic:cNvPicPr>
                  </pic:nvPicPr>
                  <pic:blipFill>
                    <a:blip r:embed="rId6"/>
                    <a:stretch>
                      <a:fillRect/>
                    </a:stretch>
                  </pic:blipFill>
                  <pic:spPr>
                    <a:xfrm>
                      <a:off x="0" y="0"/>
                      <a:ext cx="720090" cy="44831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52" w:firstLineChars="250"/>
        <w:rPr>
          <w:b/>
          <w:color w:val="000000" w:themeColor="text1"/>
        </w:rPr>
      </w:pPr>
      <w:r>
        <w:rPr>
          <w:rFonts w:hint="eastAsia"/>
          <w:b/>
          <w:sz w:val="22"/>
          <w:szCs w:val="22"/>
        </w:rPr>
        <w:drawing>
          <wp:anchor distT="0" distB="0" distL="114300" distR="114300" simplePos="0" relativeHeight="251676672" behindDoc="0" locked="0" layoutInCell="1" allowOverlap="1">
            <wp:simplePos x="0" y="0"/>
            <wp:positionH relativeFrom="column">
              <wp:posOffset>2236470</wp:posOffset>
            </wp:positionH>
            <wp:positionV relativeFrom="paragraph">
              <wp:posOffset>64135</wp:posOffset>
            </wp:positionV>
            <wp:extent cx="593090" cy="448945"/>
            <wp:effectExtent l="0" t="0" r="1270" b="8255"/>
            <wp:wrapNone/>
            <wp:docPr id="5" name="图片 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C:\Users\Administrator\Desktop\签名.jpg"/>
                    <pic:cNvPicPr>
                      <a:picLocks noChangeAspect="1"/>
                    </pic:cNvPicPr>
                  </pic:nvPicPr>
                  <pic:blipFill>
                    <a:blip r:embed="rId7"/>
                    <a:stretch>
                      <a:fillRect/>
                    </a:stretch>
                  </pic:blipFill>
                  <pic:spPr>
                    <a:xfrm>
                      <a:off x="0" y="0"/>
                      <a:ext cx="593090" cy="448945"/>
                    </a:xfrm>
                    <a:prstGeom prst="rect">
                      <a:avLst/>
                    </a:prstGeom>
                    <a:noFill/>
                    <a:ln>
                      <a:noFill/>
                    </a:ln>
                  </pic:spPr>
                </pic:pic>
              </a:graphicData>
            </a:graphic>
          </wp:anchor>
        </w:drawing>
      </w:r>
      <w:r>
        <w:rPr>
          <w:rFonts w:hint="eastAsia"/>
          <w:b/>
          <w:sz w:val="22"/>
          <w:szCs w:val="22"/>
        </w:rPr>
        <w:drawing>
          <wp:anchor distT="0" distB="0" distL="114300" distR="114300" simplePos="0" relativeHeight="251674624" behindDoc="0" locked="0" layoutInCell="1" allowOverlap="1">
            <wp:simplePos x="0" y="0"/>
            <wp:positionH relativeFrom="column">
              <wp:posOffset>1531620</wp:posOffset>
            </wp:positionH>
            <wp:positionV relativeFrom="paragraph">
              <wp:posOffset>95885</wp:posOffset>
            </wp:positionV>
            <wp:extent cx="476250" cy="492760"/>
            <wp:effectExtent l="0" t="0" r="11430" b="1016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pic:cNvPicPr>
                  </pic:nvPicPr>
                  <pic:blipFill>
                    <a:blip r:embed="rId8"/>
                    <a:stretch>
                      <a:fillRect/>
                    </a:stretch>
                  </pic:blipFill>
                  <pic:spPr>
                    <a:xfrm>
                      <a:off x="0" y="0"/>
                      <a:ext cx="476250" cy="492760"/>
                    </a:xfrm>
                    <a:prstGeom prst="rect">
                      <a:avLst/>
                    </a:prstGeom>
                    <a:noFill/>
                    <a:ln>
                      <a:noFill/>
                    </a:ln>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日期：2020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月26 日</w:t>
      </w:r>
    </w:p>
    <w:p>
      <w:pPr>
        <w:spacing w:beforeLines="50" w:afterLines="50"/>
        <w:ind w:left="1" w:leftChars="-405" w:hanging="851" w:hangingChars="326"/>
        <w:rPr>
          <w:b/>
          <w:color w:val="000000" w:themeColor="text1"/>
          <w:sz w:val="26"/>
          <w:szCs w:val="26"/>
          <w:highlight w:val="none"/>
        </w:rPr>
      </w:pPr>
      <w:r>
        <w:rPr>
          <w:rFonts w:hint="eastAsia"/>
          <w:b/>
          <w:color w:val="000000" w:themeColor="text1"/>
          <w:sz w:val="26"/>
          <w:szCs w:val="26"/>
          <w:highlight w:val="none"/>
        </w:rPr>
        <w:t>十五、纠正措施验证结论：</w:t>
      </w:r>
    </w:p>
    <w:p>
      <w:pPr>
        <w:spacing w:line="360" w:lineRule="auto"/>
        <w:rPr>
          <w:b/>
          <w:color w:val="000000" w:themeColor="text1"/>
          <w:szCs w:val="21"/>
          <w:highlight w:val="none"/>
        </w:rPr>
      </w:pPr>
      <w:r>
        <w:rPr>
          <w:rFonts w:hint="eastAsia"/>
          <w:b/>
          <w:color w:val="000000" w:themeColor="text1"/>
          <w:szCs w:val="21"/>
          <w:highlight w:val="none"/>
        </w:rPr>
        <w:t>1.  审核中发现的</w:t>
      </w:r>
      <w:r>
        <w:rPr>
          <w:rFonts w:hint="eastAsia"/>
          <w:b/>
          <w:color w:val="000000" w:themeColor="text1"/>
          <w:szCs w:val="21"/>
          <w:highlight w:val="none"/>
          <w:lang w:eastAsia="zh-CN"/>
        </w:rPr>
        <w:t>□</w:t>
      </w:r>
      <w:r>
        <w:rPr>
          <w:rFonts w:hint="eastAsia"/>
          <w:b/>
          <w:color w:val="000000" w:themeColor="text1"/>
          <w:szCs w:val="21"/>
          <w:highlight w:val="none"/>
        </w:rPr>
        <w:t>QMS(   )个一般不符合，( )个严重不符合，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rPr>
      </w:pPr>
      <w:r>
        <w:rPr>
          <w:rFonts w:hint="eastAsia"/>
          <w:b/>
          <w:color w:val="000000" w:themeColor="text1"/>
          <w:szCs w:val="21"/>
          <w:highlight w:val="none"/>
        </w:rPr>
        <w:t>审核中发现的</w:t>
      </w:r>
      <w:r>
        <w:rPr>
          <w:rFonts w:hint="eastAsia"/>
          <w:b/>
          <w:color w:val="000000" w:themeColor="text1"/>
          <w:szCs w:val="21"/>
          <w:highlight w:val="none"/>
          <w:lang w:eastAsia="zh-CN"/>
        </w:rPr>
        <w:t>■</w:t>
      </w:r>
      <w:r>
        <w:rPr>
          <w:rFonts w:hint="eastAsia"/>
          <w:b/>
          <w:color w:val="000000" w:themeColor="text1"/>
          <w:szCs w:val="21"/>
          <w:highlight w:val="none"/>
        </w:rPr>
        <w:t xml:space="preserve">EMS(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rPr>
      </w:pPr>
      <w:r>
        <w:rPr>
          <w:rFonts w:hint="eastAsia"/>
          <w:b/>
          <w:color w:val="000000" w:themeColor="text1"/>
          <w:szCs w:val="21"/>
          <w:highlight w:val="none"/>
        </w:rPr>
        <w:t>审核中发现的</w:t>
      </w:r>
      <w:r>
        <w:rPr>
          <w:rFonts w:hint="eastAsia"/>
          <w:b/>
          <w:color w:val="000000" w:themeColor="text1"/>
          <w:szCs w:val="21"/>
          <w:highlight w:val="none"/>
          <w:lang w:eastAsia="zh-CN"/>
        </w:rPr>
        <w:t>■</w:t>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highlight w:val="none"/>
        </w:rPr>
      </w:pPr>
    </w:p>
    <w:p>
      <w:pPr>
        <w:spacing w:afterLines="50"/>
        <w:ind w:leftChars="-202" w:hanging="424" w:hangingChars="201"/>
        <w:rPr>
          <w:rFonts w:ascii="宋体" w:hAnsi="宋体"/>
          <w:b/>
          <w:color w:val="000000" w:themeColor="text1"/>
          <w:szCs w:val="21"/>
          <w:highlight w:val="none"/>
        </w:rPr>
      </w:pPr>
      <w:r>
        <w:rPr>
          <w:rFonts w:hint="eastAsia"/>
          <w:b/>
          <w:color w:val="000000" w:themeColor="text1"/>
          <w:szCs w:val="21"/>
          <w:highlight w:val="none"/>
        </w:rPr>
        <w:t>2. 验证结论</w:t>
      </w:r>
      <w:r>
        <w:rPr>
          <w:rFonts w:hint="eastAsia" w:ascii="宋体" w:hAnsi="宋体"/>
          <w:b/>
          <w:color w:val="000000" w:themeColor="text1"/>
          <w:szCs w:val="21"/>
          <w:highlight w:val="none"/>
        </w:rPr>
        <w:t>:</w:t>
      </w:r>
    </w:p>
    <w:p>
      <w:pPr>
        <w:ind w:firstLine="763" w:firstLineChars="400"/>
        <w:rPr>
          <w:b/>
          <w:color w:val="000000" w:themeColor="text1"/>
          <w:szCs w:val="21"/>
          <w:highlight w:val="none"/>
        </w:rPr>
      </w:pPr>
      <w:r>
        <w:rPr>
          <w:rFonts w:hint="eastAsia"/>
          <w:b/>
          <w:color w:val="000000" w:themeColor="text1"/>
          <w:spacing w:val="-10"/>
          <w:szCs w:val="21"/>
          <w:highlight w:val="none"/>
        </w:rPr>
        <w:t>□</w:t>
      </w:r>
      <w:r>
        <w:rPr>
          <w:rFonts w:hint="eastAsia"/>
          <w:b/>
          <w:color w:val="000000" w:themeColor="text1"/>
          <w:szCs w:val="21"/>
          <w:highlight w:val="none"/>
        </w:rPr>
        <w:t>推荐注册□不推荐注册</w:t>
      </w:r>
      <w:r>
        <w:rPr>
          <w:rFonts w:hint="eastAsia"/>
          <w:b/>
          <w:color w:val="000000" w:themeColor="text1"/>
          <w:spacing w:val="-10"/>
          <w:szCs w:val="21"/>
          <w:highlight w:val="none"/>
        </w:rPr>
        <w:t>□推荐重新认证</w:t>
      </w:r>
      <w:r>
        <w:rPr>
          <w:rFonts w:hint="eastAsia"/>
          <w:b/>
          <w:color w:val="000000" w:themeColor="text1"/>
          <w:szCs w:val="21"/>
          <w:highlight w:val="none"/>
        </w:rPr>
        <w:t>注册（再认证填写）</w:t>
      </w:r>
    </w:p>
    <w:p>
      <w:pPr>
        <w:spacing w:beforeLines="100" w:afterLines="50"/>
        <w:rPr>
          <w:b/>
          <w:color w:val="000000" w:themeColor="text1"/>
          <w:szCs w:val="21"/>
          <w:highlight w:val="none"/>
        </w:rPr>
      </w:pPr>
      <w:r>
        <w:rPr>
          <w:rFonts w:ascii="宋体" w:hAnsi="宋体"/>
          <w:highlight w:val="none"/>
        </w:rPr>
        <w:drawing>
          <wp:anchor distT="0" distB="0" distL="114300" distR="114300" simplePos="0" relativeHeight="251691008" behindDoc="0" locked="0" layoutInCell="1" allowOverlap="1">
            <wp:simplePos x="0" y="0"/>
            <wp:positionH relativeFrom="page">
              <wp:posOffset>1997710</wp:posOffset>
            </wp:positionH>
            <wp:positionV relativeFrom="page">
              <wp:posOffset>7787640</wp:posOffset>
            </wp:positionV>
            <wp:extent cx="720090" cy="448310"/>
            <wp:effectExtent l="0" t="0" r="11430" b="8890"/>
            <wp:wrapNone/>
            <wp:docPr id="6"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20-01-09 10.59.53_副本.jpg"/>
                    <pic:cNvPicPr>
                      <a:picLocks noChangeAspect="1"/>
                    </pic:cNvPicPr>
                  </pic:nvPicPr>
                  <pic:blipFill>
                    <a:blip r:embed="rId6"/>
                    <a:stretch>
                      <a:fillRect/>
                    </a:stretch>
                  </pic:blipFill>
                  <pic:spPr>
                    <a:xfrm>
                      <a:off x="0" y="0"/>
                      <a:ext cx="720090" cy="448310"/>
                    </a:xfrm>
                    <a:prstGeom prst="rect">
                      <a:avLst/>
                    </a:prstGeom>
                    <a:noFill/>
                    <a:ln>
                      <a:noFill/>
                    </a:ln>
                  </pic:spPr>
                </pic:pic>
              </a:graphicData>
            </a:graphic>
          </wp:anchor>
        </w:drawing>
      </w:r>
      <w:r>
        <w:rPr>
          <w:rFonts w:hint="eastAsia"/>
          <w:b/>
          <w:color w:val="000000" w:themeColor="text1"/>
          <w:szCs w:val="21"/>
          <w:highlight w:val="none"/>
        </w:rPr>
        <w:t>组长签字:                                日期:</w:t>
      </w:r>
      <w:r>
        <w:rPr>
          <w:rFonts w:hint="eastAsia"/>
          <w:b/>
          <w:color w:val="000000" w:themeColor="text1"/>
          <w:highlight w:val="none"/>
        </w:rPr>
        <w:t xml:space="preserve"> 2020 </w:t>
      </w:r>
      <w:r>
        <w:rPr>
          <w:rFonts w:hint="eastAsia" w:asciiTheme="minorEastAsia" w:hAnsiTheme="minorEastAsia" w:eastAsiaTheme="minorEastAsia"/>
          <w:b/>
          <w:color w:val="000000" w:themeColor="text1"/>
          <w:highlight w:val="none"/>
        </w:rPr>
        <w:t>年</w:t>
      </w:r>
      <w:r>
        <w:rPr>
          <w:rFonts w:hint="eastAsia" w:asciiTheme="minorEastAsia" w:hAnsiTheme="minorEastAsia" w:eastAsiaTheme="minorEastAsia"/>
          <w:b/>
          <w:color w:val="000000" w:themeColor="text1"/>
          <w:highlight w:val="none"/>
          <w:lang w:val="en-US" w:eastAsia="zh-CN"/>
        </w:rPr>
        <w:t>6</w:t>
      </w:r>
      <w:r>
        <w:rPr>
          <w:rFonts w:hint="eastAsia" w:asciiTheme="minorEastAsia" w:hAnsiTheme="minorEastAsia" w:eastAsiaTheme="minorEastAsia"/>
          <w:b/>
          <w:color w:val="000000" w:themeColor="text1"/>
          <w:highlight w:val="none"/>
        </w:rPr>
        <w:t>月</w:t>
      </w:r>
      <w:r>
        <w:rPr>
          <w:rFonts w:hint="eastAsia" w:asciiTheme="minorEastAsia" w:hAnsiTheme="minorEastAsia" w:eastAsiaTheme="minorEastAsia"/>
          <w:b/>
          <w:color w:val="000000" w:themeColor="text1"/>
          <w:highlight w:val="none"/>
          <w:lang w:val="en-US" w:eastAsia="zh-CN"/>
        </w:rPr>
        <w:t>2</w:t>
      </w:r>
      <w:bookmarkStart w:id="23" w:name="_GoBack"/>
      <w:bookmarkEnd w:id="23"/>
      <w:r>
        <w:rPr>
          <w:rFonts w:hint="eastAsia" w:asciiTheme="minorEastAsia" w:hAnsiTheme="minorEastAsia" w:eastAsiaTheme="minorEastAsia"/>
          <w:b/>
          <w:color w:val="000000" w:themeColor="text1"/>
          <w:highlight w:val="none"/>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libri">
    <w:panose1 w:val="020F0502020204030204"/>
    <w:charset w:val="86"/>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7792293"/>
    <w:multiLevelType w:val="singleLevel"/>
    <w:tmpl w:val="67792293"/>
    <w:lvl w:ilvl="0" w:tentative="0">
      <w:start w:val="1"/>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DC0ADF"/>
    <w:rsid w:val="16C028A5"/>
    <w:rsid w:val="2213196E"/>
    <w:rsid w:val="44811E98"/>
    <w:rsid w:val="4A18742C"/>
    <w:rsid w:val="5D5427BB"/>
    <w:rsid w:val="68AB3E0E"/>
    <w:rsid w:val="6E00299B"/>
    <w:rsid w:val="74536BD7"/>
    <w:rsid w:val="7EB25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 w:type="character" w:customStyle="1" w:styleId="18">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7</TotalTime>
  <ScaleCrop>false</ScaleCrop>
  <LinksUpToDate>false</LinksUpToDate>
  <CharactersWithSpaces>5143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2020-06-02T03:49:29Z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