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145"/>
        <w:gridCol w:w="422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安徽鑫宏机械有限公司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孙同昂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1865541777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刘奎新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bookmarkStart w:id="11" w:name="审核范围"/>
            <w:r>
              <w:t>机械加工（工矿配件的熔模铸造）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17.11.03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2020年05月20日 上午至2020年05月20日 下午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2019-N1QMS-1258213</w:t>
            </w:r>
            <w:bookmarkStart w:id="15" w:name="_GoBack"/>
            <w:bookmarkEnd w:id="15"/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2987" w:type="dxa"/>
            <w:gridSpan w:val="5"/>
            <w:vAlign w:val="center"/>
          </w:tcPr>
          <w:p/>
        </w:tc>
        <w:tc>
          <w:tcPr>
            <w:tcW w:w="1556" w:type="dxa"/>
            <w:gridSpan w:val="2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45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03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审核日程安排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2020年0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 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8:30</w:t>
            </w:r>
          </w:p>
        </w:tc>
        <w:tc>
          <w:tcPr>
            <w:tcW w:w="7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pacing w:line="240" w:lineRule="atLeas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建立的控制的水平（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85649"/>
    <w:rsid w:val="3C332A5B"/>
    <w:rsid w:val="5C720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2020-05-20T06:45:51Z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