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受审核部门：领导层</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徐志豪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审核员：张磊 </w:t>
            </w:r>
            <w:r>
              <w:rPr>
                <w:rFonts w:hint="eastAsia"/>
                <w:sz w:val="24"/>
                <w:szCs w:val="24"/>
                <w:lang w:val="en-US" w:eastAsia="zh-CN"/>
              </w:rPr>
              <w:t xml:space="preserve">     </w:t>
            </w:r>
            <w:r>
              <w:rPr>
                <w:sz w:val="24"/>
                <w:szCs w:val="24"/>
              </w:rPr>
              <w:t xml:space="preserve">     </w:t>
            </w:r>
            <w:r>
              <w:rPr>
                <w:rFonts w:hint="eastAsia"/>
                <w:sz w:val="24"/>
                <w:szCs w:val="24"/>
              </w:rPr>
              <w:t>审核日期：2020-0</w:t>
            </w:r>
            <w:r>
              <w:rPr>
                <w:rFonts w:hint="eastAsia"/>
                <w:sz w:val="24"/>
                <w:szCs w:val="24"/>
                <w:lang w:val="en-US" w:eastAsia="zh-CN"/>
              </w:rPr>
              <w:t>5</w:t>
            </w:r>
            <w:r>
              <w:rPr>
                <w:rFonts w:hint="eastAsia"/>
                <w:sz w:val="24"/>
                <w:szCs w:val="24"/>
              </w:rPr>
              <w:t>-</w:t>
            </w:r>
            <w:r>
              <w:rPr>
                <w:rFonts w:hint="eastAsia"/>
                <w:sz w:val="24"/>
                <w:szCs w:val="24"/>
                <w:lang w:val="en-US" w:eastAsia="zh-CN"/>
              </w:rPr>
              <w:t>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Cs w:val="21"/>
              </w:rPr>
              <w:t>QMS：4.1</w:t>
            </w:r>
            <w:r>
              <w:rPr>
                <w:rFonts w:hint="eastAsia"/>
                <w:szCs w:val="21"/>
                <w:lang w:val="en-US" w:eastAsia="zh-CN"/>
              </w:rPr>
              <w:t xml:space="preserve"> / </w:t>
            </w:r>
            <w:r>
              <w:rPr>
                <w:rFonts w:hint="eastAsia"/>
                <w:szCs w:val="21"/>
              </w:rPr>
              <w:t>4.2</w:t>
            </w:r>
            <w:r>
              <w:rPr>
                <w:rFonts w:hint="eastAsia"/>
                <w:szCs w:val="21"/>
                <w:lang w:val="en-US" w:eastAsia="zh-CN"/>
              </w:rPr>
              <w:t xml:space="preserve"> /</w:t>
            </w:r>
            <w:r>
              <w:rPr>
                <w:rFonts w:hint="eastAsia"/>
                <w:szCs w:val="21"/>
              </w:rPr>
              <w:t xml:space="preserve"> 4.3</w:t>
            </w:r>
            <w:r>
              <w:rPr>
                <w:rFonts w:hint="eastAsia"/>
                <w:szCs w:val="21"/>
                <w:lang w:val="en-US" w:eastAsia="zh-CN"/>
              </w:rPr>
              <w:t xml:space="preserve"> /</w:t>
            </w:r>
            <w:r>
              <w:rPr>
                <w:rFonts w:hint="eastAsia"/>
                <w:szCs w:val="21"/>
              </w:rPr>
              <w:t xml:space="preserve"> 4.4</w:t>
            </w:r>
            <w:r>
              <w:rPr>
                <w:rFonts w:hint="eastAsia"/>
                <w:szCs w:val="21"/>
                <w:lang w:val="en-US" w:eastAsia="zh-CN"/>
              </w:rPr>
              <w:t xml:space="preserve"> /</w:t>
            </w:r>
            <w:r>
              <w:rPr>
                <w:rFonts w:hint="eastAsia"/>
                <w:szCs w:val="21"/>
              </w:rPr>
              <w:t xml:space="preserve"> </w:t>
            </w:r>
            <w:r>
              <w:rPr>
                <w:szCs w:val="21"/>
              </w:rPr>
              <w:t>5.1</w:t>
            </w:r>
            <w:r>
              <w:rPr>
                <w:rFonts w:hint="eastAsia"/>
                <w:szCs w:val="21"/>
                <w:lang w:val="en-US" w:eastAsia="zh-CN"/>
              </w:rPr>
              <w:t xml:space="preserve"> / 5.1.2 / </w:t>
            </w:r>
            <w:r>
              <w:rPr>
                <w:szCs w:val="21"/>
              </w:rPr>
              <w:t>5.2</w:t>
            </w:r>
            <w:r>
              <w:rPr>
                <w:rFonts w:hint="eastAsia"/>
                <w:szCs w:val="21"/>
                <w:lang w:val="en-US" w:eastAsia="zh-CN"/>
              </w:rPr>
              <w:t xml:space="preserve"> /</w:t>
            </w:r>
            <w:r>
              <w:rPr>
                <w:rFonts w:hint="eastAsia"/>
                <w:szCs w:val="21"/>
              </w:rPr>
              <w:t xml:space="preserve"> </w:t>
            </w:r>
            <w:r>
              <w:rPr>
                <w:szCs w:val="21"/>
              </w:rPr>
              <w:t>5.3</w:t>
            </w:r>
            <w:r>
              <w:rPr>
                <w:rFonts w:hint="eastAsia"/>
                <w:szCs w:val="21"/>
                <w:lang w:val="en-US" w:eastAsia="zh-CN"/>
              </w:rPr>
              <w:t xml:space="preserve"> / </w:t>
            </w:r>
            <w:r>
              <w:rPr>
                <w:rFonts w:hint="eastAsia"/>
                <w:szCs w:val="21"/>
              </w:rPr>
              <w:t>6.1</w:t>
            </w:r>
            <w:r>
              <w:rPr>
                <w:rFonts w:hint="eastAsia"/>
                <w:szCs w:val="21"/>
                <w:lang w:val="en-US" w:eastAsia="zh-CN"/>
              </w:rPr>
              <w:t xml:space="preserve"> / </w:t>
            </w:r>
            <w:r>
              <w:rPr>
                <w:rFonts w:hint="eastAsia"/>
                <w:szCs w:val="21"/>
              </w:rPr>
              <w:t>6.2</w:t>
            </w:r>
            <w:r>
              <w:rPr>
                <w:rFonts w:hint="eastAsia"/>
                <w:szCs w:val="21"/>
                <w:lang w:val="en-US" w:eastAsia="zh-CN"/>
              </w:rPr>
              <w:t xml:space="preserve"> / </w:t>
            </w:r>
            <w:r>
              <w:rPr>
                <w:szCs w:val="21"/>
              </w:rPr>
              <w:t>6.3</w:t>
            </w:r>
            <w:r>
              <w:rPr>
                <w:rFonts w:hint="eastAsia"/>
                <w:szCs w:val="21"/>
                <w:lang w:val="en-US" w:eastAsia="zh-CN"/>
              </w:rPr>
              <w:t xml:space="preserve"> / </w:t>
            </w:r>
            <w:r>
              <w:rPr>
                <w:szCs w:val="21"/>
              </w:rPr>
              <w:t>7</w:t>
            </w:r>
            <w:r>
              <w:rPr>
                <w:rFonts w:hint="eastAsia"/>
                <w:szCs w:val="21"/>
              </w:rPr>
              <w:t>.1.1</w:t>
            </w:r>
            <w:r>
              <w:rPr>
                <w:rFonts w:hint="eastAsia"/>
                <w:szCs w:val="21"/>
                <w:lang w:val="en-US" w:eastAsia="zh-CN"/>
              </w:rPr>
              <w:t xml:space="preserve"> / </w:t>
            </w:r>
            <w:r>
              <w:rPr>
                <w:rFonts w:hint="eastAsia"/>
                <w:szCs w:val="21"/>
              </w:rPr>
              <w:t>7.1.2</w:t>
            </w:r>
            <w:r>
              <w:rPr>
                <w:rFonts w:hint="eastAsia"/>
                <w:szCs w:val="21"/>
                <w:lang w:val="en-US" w:eastAsia="zh-CN"/>
              </w:rPr>
              <w:t xml:space="preserve"> /7.1.6/ </w:t>
            </w:r>
            <w:r>
              <w:rPr>
                <w:rFonts w:hint="eastAsia"/>
                <w:szCs w:val="21"/>
              </w:rPr>
              <w:t>7.3</w:t>
            </w:r>
            <w:r>
              <w:rPr>
                <w:rFonts w:hint="eastAsia"/>
                <w:szCs w:val="21"/>
                <w:lang w:val="en-US" w:eastAsia="zh-CN"/>
              </w:rPr>
              <w:t xml:space="preserve"> / </w:t>
            </w:r>
            <w:r>
              <w:rPr>
                <w:rFonts w:hint="eastAsia"/>
                <w:szCs w:val="21"/>
              </w:rPr>
              <w:t>9.1.1</w:t>
            </w:r>
            <w:r>
              <w:rPr>
                <w:rFonts w:hint="eastAsia"/>
                <w:szCs w:val="21"/>
                <w:lang w:val="en-US" w:eastAsia="zh-CN"/>
              </w:rPr>
              <w:t xml:space="preserve">/9.1.3/9.3 / </w:t>
            </w:r>
            <w:r>
              <w:rPr>
                <w:rFonts w:hint="eastAsia"/>
                <w:szCs w:val="21"/>
              </w:rPr>
              <w:t>10.1</w:t>
            </w:r>
            <w:r>
              <w:rPr>
                <w:rFonts w:hint="eastAsia"/>
                <w:szCs w:val="21"/>
                <w:lang w:val="en-US" w:eastAsia="zh-CN"/>
              </w:rPr>
              <w:t xml:space="preserve"> / </w:t>
            </w:r>
            <w:r>
              <w:rPr>
                <w:rFonts w:hint="eastAsia"/>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pPr>
              <w:rPr>
                <w:rFonts w:hint="eastAsia"/>
              </w:rPr>
            </w:pPr>
            <w:r>
              <w:rPr>
                <w:rFonts w:hint="eastAsia"/>
                <w:vertAlign w:val="baseline"/>
                <w:lang w:val="en-US" w:eastAsia="zh-CN"/>
              </w:rPr>
              <w:t>一阶段问题验证/投诉或事故/政府主管部门监督抽查情况</w:t>
            </w:r>
          </w:p>
        </w:tc>
        <w:tc>
          <w:tcPr>
            <w:tcW w:w="960" w:type="dxa"/>
          </w:tcPr>
          <w:p>
            <w:pPr>
              <w:rPr>
                <w:rFonts w:hint="eastAsia"/>
              </w:rPr>
            </w:pPr>
          </w:p>
        </w:tc>
        <w:tc>
          <w:tcPr>
            <w:tcW w:w="745" w:type="dxa"/>
          </w:tcPr>
          <w:p>
            <w:pPr>
              <w:rPr>
                <w:rFonts w:hint="eastAsia"/>
              </w:rPr>
            </w:pPr>
          </w:p>
        </w:tc>
        <w:tc>
          <w:tcPr>
            <w:tcW w:w="9259" w:type="dxa"/>
          </w:tcPr>
          <w:p>
            <w:pPr>
              <w:rPr>
                <w:rFonts w:hint="default" w:eastAsia="宋体"/>
                <w:lang w:val="en-US" w:eastAsia="zh-CN"/>
              </w:rPr>
            </w:pPr>
            <w:r>
              <w:rPr>
                <w:rFonts w:hint="eastAsia"/>
                <w:lang w:val="en-US" w:eastAsia="zh-CN"/>
              </w:rPr>
              <w:t>一阶段问题已整改，详见法律法规清单，</w:t>
            </w:r>
            <w:r>
              <w:rPr>
                <w:rFonts w:hint="eastAsia"/>
                <w:vertAlign w:val="baseline"/>
                <w:lang w:val="en-US" w:eastAsia="zh-CN"/>
              </w:rPr>
              <w:t>体系运行期间</w:t>
            </w:r>
            <w:r>
              <w:rPr>
                <w:rFonts w:hint="eastAsia"/>
                <w:lang w:val="en-US" w:eastAsia="zh-CN"/>
              </w:rPr>
              <w:t>无投诉</w:t>
            </w:r>
            <w:r>
              <w:rPr>
                <w:rFonts w:hint="eastAsia"/>
                <w:vertAlign w:val="baseline"/>
                <w:lang w:val="en-US" w:eastAsia="zh-CN"/>
              </w:rPr>
              <w:t>或事故发生，无政府部门抽查情况</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理解组织及其环境</w:t>
            </w:r>
          </w:p>
        </w:tc>
        <w:tc>
          <w:tcPr>
            <w:tcW w:w="960" w:type="dxa"/>
            <w:vMerge w:val="restart"/>
          </w:tcPr>
          <w:p>
            <w:pPr>
              <w:rPr>
                <w:color w:val="auto"/>
              </w:rPr>
            </w:pPr>
            <w:r>
              <w:rPr>
                <w:rFonts w:hint="eastAsia"/>
                <w:color w:val="auto"/>
              </w:rPr>
              <w:t xml:space="preserve">Q4.1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《组织环境分析控制程序》、</w:t>
            </w:r>
            <w:r>
              <w:rPr>
                <w:rFonts w:hint="eastAsia"/>
                <w:color w:val="auto"/>
              </w:rPr>
              <w:sym w:font="Wingdings" w:char="00FE"/>
            </w:r>
            <w:r>
              <w:rPr>
                <w:rFonts w:hint="eastAsia"/>
                <w:color w:val="auto"/>
              </w:rPr>
              <w:t>管理手册第4.1章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与最高管理者沟通：</w:t>
            </w:r>
          </w:p>
          <w:p>
            <w:pPr>
              <w:rPr>
                <w:color w:val="auto"/>
                <w:szCs w:val="21"/>
              </w:rPr>
            </w:pPr>
            <w:r>
              <w:rPr>
                <w:rFonts w:hint="eastAsia"/>
                <w:color w:val="auto"/>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rPr>
                    <w:t>☑</w:t>
                  </w:r>
                  <w:r>
                    <w:rPr>
                      <w:rFonts w:hint="eastAsia" w:ascii="宋体" w:hAnsi="宋体" w:eastAsia="宋体" w:cs="宋体"/>
                      <w:color w:val="auto"/>
                      <w:kern w:val="0"/>
                      <w:sz w:val="20"/>
                      <w:szCs w:val="20"/>
                    </w:rPr>
                    <w:t>政治因素</w:t>
                  </w:r>
                  <w:r>
                    <w:rPr>
                      <w:rFonts w:hint="eastAsia"/>
                      <w:color w:val="auto"/>
                    </w:rPr>
                    <w:t xml:space="preserve"> ☑</w:t>
                  </w:r>
                  <w:r>
                    <w:rPr>
                      <w:rFonts w:hint="eastAsia" w:ascii="宋体" w:hAnsi="宋体" w:eastAsia="宋体" w:cs="宋体"/>
                      <w:color w:val="auto"/>
                      <w:kern w:val="0"/>
                      <w:sz w:val="20"/>
                      <w:szCs w:val="20"/>
                    </w:rPr>
                    <w:t>经济因素</w:t>
                  </w:r>
                  <w:r>
                    <w:rPr>
                      <w:rFonts w:hint="eastAsia"/>
                      <w:color w:val="auto"/>
                    </w:rPr>
                    <w:t xml:space="preserve"> ☑</w:t>
                  </w:r>
                  <w:r>
                    <w:rPr>
                      <w:rFonts w:hint="eastAsia" w:ascii="宋体" w:hAnsi="宋体" w:eastAsia="宋体" w:cs="宋体"/>
                      <w:color w:val="auto"/>
                      <w:kern w:val="0"/>
                      <w:sz w:val="20"/>
                      <w:szCs w:val="20"/>
                    </w:rPr>
                    <w:t>社会因素</w:t>
                  </w:r>
                  <w:r>
                    <w:rPr>
                      <w:rFonts w:hint="eastAsia"/>
                      <w:color w:val="auto"/>
                    </w:rPr>
                    <w:t xml:space="preserve"> ☑</w:t>
                  </w:r>
                  <w:r>
                    <w:rPr>
                      <w:rFonts w:hint="eastAsia" w:ascii="宋体" w:hAnsi="宋体" w:eastAsia="宋体" w:cs="宋体"/>
                      <w:color w:val="auto"/>
                      <w:kern w:val="0"/>
                      <w:sz w:val="20"/>
                      <w:szCs w:val="20"/>
                    </w:rPr>
                    <w:t>技术因素</w:t>
                  </w:r>
                  <w:r>
                    <w:rPr>
                      <w:rFonts w:hint="eastAsia"/>
                      <w:color w:val="auto"/>
                    </w:rPr>
                    <w:t xml:space="preserve"> </w:t>
                  </w:r>
                  <w:r>
                    <w:rPr>
                      <w:rFonts w:hint="eastAsia"/>
                      <w:color w:val="auto"/>
                      <w:lang w:eastAsia="zh-CN"/>
                    </w:rPr>
                    <w:t>☑</w:t>
                  </w:r>
                  <w:r>
                    <w:rPr>
                      <w:rFonts w:hint="eastAsia" w:ascii="宋体" w:hAnsi="宋体" w:eastAsia="宋体" w:cs="宋体"/>
                      <w:color w:val="auto"/>
                      <w:kern w:val="0"/>
                      <w:sz w:val="20"/>
                      <w:szCs w:val="20"/>
                    </w:rPr>
                    <w:t>法律法规因素</w:t>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列举主要的内容</w:t>
                  </w:r>
                </w:p>
              </w:tc>
              <w:tc>
                <w:tcPr>
                  <w:tcW w:w="7375" w:type="dxa"/>
                </w:tcPr>
                <w:p>
                  <w:pPr>
                    <w:rPr>
                      <w:color w:val="auto"/>
                    </w:rPr>
                  </w:pPr>
                  <w:r>
                    <w:rPr>
                      <w:rFonts w:hint="eastAsia" w:ascii="宋体" w:hAnsi="宋体" w:eastAsia="宋体" w:cs="宋体"/>
                      <w:color w:val="auto"/>
                      <w:kern w:val="0"/>
                      <w:sz w:val="20"/>
                      <w:szCs w:val="20"/>
                    </w:rPr>
                    <w:t>一系列的社会因素，造成公司人力资源成本越来越高，招工难为本年度公司发展的一大难题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w:t>
                  </w:r>
                  <w:r>
                    <w:rPr>
                      <w:rFonts w:hint="eastAsia" w:ascii="宋体" w:hAnsi="宋体" w:eastAsia="宋体" w:cs="宋体"/>
                      <w:color w:val="auto"/>
                      <w:kern w:val="0"/>
                      <w:sz w:val="20"/>
                      <w:szCs w:val="20"/>
                    </w:rPr>
                    <w:t>企业文化</w:t>
                  </w:r>
                  <w:r>
                    <w:rPr>
                      <w:rFonts w:hint="eastAsia"/>
                      <w:color w:val="auto"/>
                    </w:rPr>
                    <w:t xml:space="preserve">  ☑</w:t>
                  </w:r>
                  <w:r>
                    <w:rPr>
                      <w:rFonts w:hint="eastAsia" w:ascii="宋体" w:hAnsi="宋体" w:eastAsia="宋体" w:cs="宋体"/>
                      <w:color w:val="auto"/>
                      <w:kern w:val="0"/>
                      <w:sz w:val="20"/>
                      <w:szCs w:val="20"/>
                    </w:rPr>
                    <w:t>技术能力</w:t>
                  </w:r>
                  <w:r>
                    <w:rPr>
                      <w:rFonts w:hint="eastAsia"/>
                      <w:color w:val="auto"/>
                    </w:rPr>
                    <w:t xml:space="preserve">  ☑</w:t>
                  </w:r>
                  <w:r>
                    <w:rPr>
                      <w:rFonts w:ascii="宋体" w:hAnsi="宋体" w:eastAsia="宋体" w:cs="宋体"/>
                      <w:color w:val="auto"/>
                      <w:kern w:val="0"/>
                      <w:sz w:val="20"/>
                      <w:szCs w:val="20"/>
                    </w:rPr>
                    <w:t>设备资源</w:t>
                  </w:r>
                  <w:r>
                    <w:rPr>
                      <w:rFonts w:hint="eastAsia"/>
                      <w:color w:val="auto"/>
                    </w:rPr>
                    <w:t xml:space="preserve"> ☑</w:t>
                  </w:r>
                  <w:r>
                    <w:rPr>
                      <w:rFonts w:hint="eastAsia" w:ascii="宋体" w:hAnsi="宋体" w:eastAsia="宋体" w:cs="宋体"/>
                      <w:color w:val="auto"/>
                      <w:kern w:val="0"/>
                      <w:sz w:val="20"/>
                      <w:szCs w:val="20"/>
                    </w:rPr>
                    <w:t>人力环境</w:t>
                  </w:r>
                  <w:r>
                    <w:rPr>
                      <w:rFonts w:hint="eastAsia"/>
                      <w:color w:val="auto"/>
                    </w:rPr>
                    <w:t xml:space="preserve"> ☑</w:t>
                  </w:r>
                  <w:r>
                    <w:rPr>
                      <w:rFonts w:hint="eastAsia" w:ascii="宋体" w:hAnsi="宋体" w:eastAsia="宋体" w:cs="宋体"/>
                      <w:color w:val="auto"/>
                      <w:kern w:val="0"/>
                      <w:sz w:val="20"/>
                      <w:szCs w:val="20"/>
                    </w:rPr>
                    <w:t>执行力</w:t>
                  </w:r>
                  <w:r>
                    <w:rPr>
                      <w:rFonts w:hint="eastAsia"/>
                      <w:color w:val="auto"/>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列举主要的内容</w:t>
                  </w:r>
                </w:p>
              </w:tc>
              <w:tc>
                <w:tcPr>
                  <w:tcW w:w="7375" w:type="dxa"/>
                </w:tcPr>
                <w:p>
                  <w:pPr>
                    <w:rPr>
                      <w:color w:val="auto"/>
                    </w:rPr>
                  </w:pPr>
                  <w:r>
                    <w:rPr>
                      <w:rFonts w:ascii="宋体" w:hAnsi="宋体" w:eastAsia="宋体" w:cs="宋体"/>
                      <w:color w:val="auto"/>
                      <w:kern w:val="0"/>
                      <w:sz w:val="20"/>
                      <w:szCs w:val="20"/>
                    </w:rPr>
                    <w:t>设备资源因素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组织优势说明</w:t>
                  </w:r>
                </w:p>
              </w:tc>
              <w:tc>
                <w:tcPr>
                  <w:tcW w:w="7375" w:type="dxa"/>
                </w:tcPr>
                <w:p>
                  <w:pPr>
                    <w:rPr>
                      <w:color w:val="auto"/>
                    </w:rPr>
                  </w:pPr>
                  <w:r>
                    <w:rPr>
                      <w:rFonts w:ascii="宋体" w:hAnsi="宋体" w:eastAsia="宋体" w:cs="宋体"/>
                      <w:color w:val="auto"/>
                      <w:kern w:val="0"/>
                      <w:sz w:val="20"/>
                      <w:szCs w:val="20"/>
                    </w:rPr>
                    <w:t>随着公司的逐步发</w:t>
                  </w:r>
                  <w:r>
                    <w:rPr>
                      <w:rFonts w:hint="eastAsia" w:ascii="宋体" w:hAnsi="宋体" w:cs="宋体"/>
                      <w:color w:val="auto"/>
                      <w:kern w:val="0"/>
                      <w:sz w:val="20"/>
                      <w:szCs w:val="20"/>
                      <w:lang w:val="en-US" w:eastAsia="zh-CN"/>
                    </w:rPr>
                    <w:t>展</w:t>
                  </w:r>
                  <w:r>
                    <w:rPr>
                      <w:rFonts w:ascii="宋体" w:hAnsi="宋体" w:eastAsia="宋体" w:cs="宋体"/>
                      <w:color w:val="auto"/>
                      <w:kern w:val="0"/>
                      <w:sz w:val="20"/>
                      <w:szCs w:val="20"/>
                    </w:rPr>
                    <w:t>，每年添置了多台新设备，为生产提供有利的保障。</w:t>
                  </w:r>
                  <w:r>
                    <w:rPr>
                      <w:rFonts w:ascii="宋体" w:hAnsi="宋体" w:eastAsia="宋体" w:cs="宋体"/>
                      <w:color w:val="auto"/>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组织劣势说明</w:t>
                  </w:r>
                </w:p>
              </w:tc>
              <w:tc>
                <w:tcPr>
                  <w:tcW w:w="7375" w:type="dxa"/>
                </w:tcPr>
                <w:p>
                  <w:pPr>
                    <w:rPr>
                      <w:color w:val="auto"/>
                    </w:rPr>
                  </w:pPr>
                  <w:r>
                    <w:rPr>
                      <w:rFonts w:ascii="宋体" w:hAnsi="宋体" w:eastAsia="宋体" w:cs="宋体"/>
                      <w:color w:val="auto"/>
                      <w:kern w:val="0"/>
                      <w:sz w:val="20"/>
                      <w:szCs w:val="20"/>
                    </w:rPr>
                    <w:t>部分设备已使用多年，已经逐渐老化。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主要风险的说明</w:t>
                  </w:r>
                </w:p>
              </w:tc>
              <w:tc>
                <w:tcPr>
                  <w:tcW w:w="7375" w:type="dxa"/>
                </w:tcPr>
                <w:p>
                  <w:pPr>
                    <w:rPr>
                      <w:color w:val="auto"/>
                    </w:rPr>
                  </w:pPr>
                  <w:r>
                    <w:rPr>
                      <w:rFonts w:ascii="宋体" w:hAnsi="宋体" w:eastAsia="宋体" w:cs="宋体"/>
                      <w:color w:val="auto"/>
                      <w:kern w:val="0"/>
                      <w:sz w:val="20"/>
                      <w:szCs w:val="20"/>
                    </w:rPr>
                    <w:t>旧</w:t>
                  </w:r>
                  <w:r>
                    <w:rPr>
                      <w:rFonts w:hint="eastAsia" w:ascii="宋体" w:hAnsi="宋体" w:eastAsia="宋体" w:cs="宋体"/>
                      <w:color w:val="auto"/>
                      <w:kern w:val="0"/>
                      <w:sz w:val="20"/>
                      <w:szCs w:val="20"/>
                    </w:rPr>
                    <w:t>设备</w:t>
                  </w:r>
                  <w:r>
                    <w:rPr>
                      <w:rFonts w:ascii="宋体" w:hAnsi="宋体" w:eastAsia="宋体" w:cs="宋体"/>
                      <w:color w:val="auto"/>
                      <w:kern w:val="0"/>
                      <w:sz w:val="20"/>
                      <w:szCs w:val="20"/>
                    </w:rPr>
                    <w:t>的老化现象已影响到要关产品的质量，如维修频率过高，性能不稳定，生产或检验之产品精度无法答到要求，线路老化引起的安全隐患等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机遇的说明</w:t>
                  </w:r>
                </w:p>
              </w:tc>
              <w:tc>
                <w:tcPr>
                  <w:tcW w:w="7375" w:type="dxa"/>
                </w:tcPr>
                <w:p>
                  <w:pPr>
                    <w:rPr>
                      <w:rFonts w:hint="default" w:eastAsia="宋体"/>
                      <w:color w:val="auto"/>
                      <w:lang w:val="en-US" w:eastAsia="zh-CN"/>
                    </w:rPr>
                  </w:pPr>
                  <w:r>
                    <w:rPr>
                      <w:rFonts w:hint="eastAsia"/>
                      <w:color w:val="auto"/>
                      <w:lang w:val="en-US" w:eastAsia="zh-CN"/>
                    </w:rPr>
                    <w:t>新设备的引进，提升产品质量，满足客户要求</w:t>
                  </w:r>
                </w:p>
              </w:tc>
            </w:tr>
          </w:tbl>
          <w:p>
            <w:pPr>
              <w:rPr>
                <w:color w:val="auto"/>
                <w:szCs w:val="21"/>
              </w:rPr>
            </w:pPr>
          </w:p>
          <w:p>
            <w:pPr>
              <w:rPr>
                <w:color w:val="auto"/>
                <w:szCs w:val="21"/>
              </w:rPr>
            </w:pPr>
            <w:r>
              <w:rPr>
                <w:rFonts w:hint="eastAsia"/>
                <w:color w:val="auto"/>
                <w:szCs w:val="21"/>
              </w:rPr>
              <w:t>主要证据体现在</w:t>
            </w:r>
            <w:r>
              <w:rPr>
                <w:rFonts w:hint="eastAsia"/>
                <w:color w:val="auto"/>
              </w:rPr>
              <w:t xml:space="preserve"> </w:t>
            </w:r>
            <w:r>
              <w:rPr>
                <w:rFonts w:hint="eastAsia"/>
                <w:color w:val="auto"/>
              </w:rPr>
              <w:sym w:font="Wingdings" w:char="00FE"/>
            </w:r>
            <w:r>
              <w:rPr>
                <w:rFonts w:hint="eastAsia"/>
                <w:color w:val="auto"/>
              </w:rPr>
              <w:t xml:space="preserve">《组织内外部环境因素识别表》  </w:t>
            </w:r>
            <w:r>
              <w:rPr>
                <w:rFonts w:hint="eastAsia"/>
                <w:color w:val="auto"/>
              </w:rPr>
              <w:sym w:font="Wingdings" w:char="00A8"/>
            </w:r>
            <w:r>
              <w:rPr>
                <w:rFonts w:hint="eastAsia"/>
                <w:color w:val="auto"/>
              </w:rPr>
              <w:t xml:space="preserve">《年度业务计划》 </w:t>
            </w:r>
            <w:r>
              <w:rPr>
                <w:rFonts w:hint="eastAsia"/>
                <w:color w:val="auto"/>
              </w:rPr>
              <w:sym w:font="Wingdings" w:char="00A8"/>
            </w:r>
            <w:r>
              <w:rPr>
                <w:rFonts w:hint="eastAsia"/>
                <w:color w:val="auto"/>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《理解相关方的需求和期望控制程序》、</w:t>
            </w:r>
            <w:r>
              <w:rPr>
                <w:rFonts w:hint="eastAsia"/>
              </w:rPr>
              <w:sym w:font="Wingdings" w:char="00FE"/>
            </w:r>
            <w:r>
              <w:rPr>
                <w:rFonts w:hint="eastAsia"/>
              </w:rPr>
              <w:t>管理手册第4.2章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☑政府机构</w:t>
                  </w:r>
                </w:p>
              </w:tc>
              <w:tc>
                <w:tcPr>
                  <w:tcW w:w="3805" w:type="dxa"/>
                </w:tcPr>
                <w:p>
                  <w:r>
                    <w:rPr>
                      <w:rFonts w:hint="eastAsia"/>
                    </w:rPr>
                    <w:t>如</w:t>
                  </w:r>
                  <w:r>
                    <w:t>福建省南安市</w:t>
                  </w:r>
                  <w:r>
                    <w:rPr>
                      <w:rFonts w:hint="eastAsia"/>
                    </w:rPr>
                    <w:t>市场监督管理局</w:t>
                  </w:r>
                </w:p>
              </w:tc>
              <w:tc>
                <w:tcPr>
                  <w:tcW w:w="3625" w:type="dxa"/>
                </w:tcPr>
                <w:p>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pPr>
                    <w:rPr>
                      <w:rFonts w:hint="default" w:eastAsia="宋体"/>
                      <w:lang w:val="en-US" w:eastAsia="zh-CN"/>
                    </w:rPr>
                  </w:pPr>
                  <w:r>
                    <w:rPr>
                      <w:rFonts w:hint="eastAsia"/>
                    </w:rPr>
                    <w:t>例如：</w:t>
                  </w:r>
                  <w:r>
                    <w:rPr>
                      <w:rFonts w:hint="eastAsia" w:ascii="Arial" w:hAnsi="Arial" w:cs="Arial"/>
                      <w:lang w:val="en-US" w:eastAsia="zh-CN"/>
                    </w:rPr>
                    <w:t>泉州市鹏顺钢铁贸易有限公司</w:t>
                  </w:r>
                </w:p>
              </w:tc>
              <w:tc>
                <w:tcPr>
                  <w:tcW w:w="3625" w:type="dxa"/>
                </w:tcPr>
                <w:p>
                  <w:r>
                    <w:rPr>
                      <w:rFonts w:hint="eastAsia"/>
                    </w:rPr>
                    <w:t xml:space="preserve">☑进料合格率高                               </w:t>
                  </w:r>
                </w:p>
                <w:p>
                  <w:r>
                    <w:rPr>
                      <w:rFonts w:hint="eastAsia"/>
                      <w:lang w:eastAsia="zh-CN"/>
                    </w:rPr>
                    <w:t>☑</w:t>
                  </w:r>
                  <w:r>
                    <w:rPr>
                      <w:rFonts w:hint="eastAsia"/>
                    </w:rPr>
                    <w:t xml:space="preserve">长期合作、双赢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r>
                    <w:rPr>
                      <w:rFonts w:hint="eastAsia"/>
                    </w:rPr>
                    <w:t>例如：</w:t>
                  </w:r>
                  <w:r>
                    <w:rPr>
                      <w:rFonts w:hint="eastAsia"/>
                      <w:lang w:val="en-US" w:eastAsia="zh-CN"/>
                    </w:rPr>
                    <w:t>福建佳欣消防科技有限公司</w:t>
                  </w:r>
                </w:p>
              </w:tc>
              <w:tc>
                <w:tcPr>
                  <w:tcW w:w="3625" w:type="dxa"/>
                </w:tcPr>
                <w:p>
                  <w:r>
                    <w:rPr>
                      <w:rFonts w:hint="eastAsia"/>
                    </w:rPr>
                    <w:t>☑按时按质按量交付产品或服务；</w:t>
                  </w:r>
                </w:p>
                <w:p>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tcPr>
                <w:p>
                  <w:r>
                    <w:rPr>
                      <w:rFonts w:hint="eastAsia"/>
                    </w:rPr>
                    <w:t>——</w:t>
                  </w:r>
                </w:p>
              </w:tc>
              <w:tc>
                <w:tcPr>
                  <w:tcW w:w="3625" w:type="dxa"/>
                </w:tcPr>
                <w:p>
                  <w:r>
                    <w:rPr>
                      <w:rFonts w:hint="eastAsia"/>
                    </w:rPr>
                    <w:t>□良好的使用感受、持续经营</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w:t>
                  </w:r>
                </w:p>
              </w:tc>
              <w:tc>
                <w:tcPr>
                  <w:tcW w:w="3625" w:type="dxa"/>
                </w:tcPr>
                <w:p>
                  <w:r>
                    <w:rPr>
                      <w:rFonts w:hint="eastAsia"/>
                    </w:rPr>
                    <w:t>☑组织的持续经营、自我发展</w:t>
                  </w:r>
                </w:p>
                <w:p>
                  <w:r>
                    <w:rPr>
                      <w:rFonts w:hint="eastAsia"/>
                      <w:lang w:eastAsia="zh-CN"/>
                    </w:rPr>
                    <w:t>☑</w:t>
                  </w:r>
                  <w:r>
                    <w:rPr>
                      <w:rFonts w:hint="eastAsia"/>
                    </w:rPr>
                    <w:t xml:space="preserve">薪资、福利增加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default" w:eastAsia="宋体"/>
                      <w:lang w:val="en-US" w:eastAsia="zh-CN"/>
                    </w:rPr>
                  </w:pPr>
                  <w:r>
                    <w:rPr>
                      <w:rFonts w:hint="eastAsia"/>
                    </w:rPr>
                    <w:t>☑</w:t>
                  </w:r>
                  <w:r>
                    <w:rPr>
                      <w:rFonts w:hint="eastAsia"/>
                      <w:lang w:val="en-US" w:eastAsia="zh-CN"/>
                    </w:rPr>
                    <w:t>审核机构</w:t>
                  </w:r>
                </w:p>
              </w:tc>
              <w:tc>
                <w:tcPr>
                  <w:tcW w:w="3805" w:type="dxa"/>
                </w:tcPr>
                <w:p>
                  <w:pPr>
                    <w:rPr>
                      <w:rFonts w:hint="default" w:eastAsia="宋体"/>
                      <w:lang w:val="en-US" w:eastAsia="zh-CN"/>
                    </w:rPr>
                  </w:pPr>
                  <w:r>
                    <w:rPr>
                      <w:rFonts w:hint="eastAsia"/>
                      <w:lang w:val="en-US" w:eastAsia="zh-CN"/>
                    </w:rPr>
                    <w:t>第三方认证公司</w:t>
                  </w:r>
                </w:p>
              </w:tc>
              <w:tc>
                <w:tcPr>
                  <w:tcW w:w="3625" w:type="dxa"/>
                </w:tcPr>
                <w:p>
                  <w:pPr>
                    <w:rPr>
                      <w:rFonts w:hint="eastAsia"/>
                    </w:rPr>
                  </w:pPr>
                  <w:r>
                    <w:rPr>
                      <w:rFonts w:hint="eastAsia"/>
                    </w:rPr>
                    <w:t>☑公司体系运作的有效性、充分性和符合性</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《相关方及相关方要求清单》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bookmarkStart w:id="0" w:name="审核范围"/>
                  <w:r>
                    <w:rPr>
                      <w:rFonts w:hint="eastAsia" w:ascii="宋体" w:hAnsi="宋体"/>
                      <w:szCs w:val="21"/>
                    </w:rPr>
                    <w:t>资质范围内灭火设备的生产</w:t>
                  </w:r>
                  <w:bookmarkEnd w:id="0"/>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bookmarkStart w:id="1" w:name="生产地址"/>
                  <w:r>
                    <w:t>福建省南安市扶茂工业园后畲180号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r>
                    <w:t>福建省南安市扶茂工业园后畲180号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FE"/>
                  </w:r>
                  <w:r>
                    <w:rPr>
                      <w:rFonts w:hint="eastAsia"/>
                    </w:rPr>
                    <w:t xml:space="preserve"> 体系建立以来</w:t>
                  </w:r>
                </w:p>
                <w:p>
                  <w:r>
                    <w:rPr>
                      <w:rFonts w:hint="eastAsia"/>
                    </w:rPr>
                    <w:sym w:font="Wingdings" w:char="00A8"/>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如：☑管理手册第4.4章和</w:t>
            </w:r>
            <w:r>
              <w:rPr>
                <w:rFonts w:hint="eastAsia"/>
                <w:lang w:eastAsia="zh-CN"/>
              </w:rPr>
              <w:t>☑</w:t>
            </w:r>
            <w:r>
              <w:rPr>
                <w:rFonts w:hint="eastAsia"/>
              </w:rPr>
              <w:t>《过程风险与机遇评价与应对策划表》</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 xml:space="preserve">☑订单评审过程 ☑制造过程 ☑交付和顾客反馈过程 ☑经营计划过程☑内部审核过程 ☑管理评审过程 </w:t>
            </w:r>
            <w:r>
              <w:rPr>
                <w:rFonts w:hint="eastAsia"/>
                <w:lang w:eastAsia="zh-CN"/>
              </w:rPr>
              <w:t>☑</w:t>
            </w:r>
            <w:r>
              <w:rPr>
                <w:rFonts w:hint="eastAsia"/>
              </w:rPr>
              <w:t xml:space="preserve">文件记录管理过程 ☑人力资源管理过程 ☑采购过程 ☑检验过程 </w:t>
            </w:r>
            <w:r>
              <w:rPr>
                <w:rFonts w:hint="eastAsia"/>
                <w:lang w:eastAsia="zh-CN"/>
              </w:rPr>
              <w:t>☑</w:t>
            </w:r>
            <w:r>
              <w:rPr>
                <w:rFonts w:hint="eastAsia"/>
              </w:rPr>
              <w:t>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w:t>
            </w:r>
            <w:r>
              <w:rPr>
                <w:rFonts w:hint="eastAsia"/>
                <w:lang w:eastAsia="zh-CN"/>
              </w:rPr>
              <w:t>□</w:t>
            </w:r>
            <w:r>
              <w:rPr>
                <w:rFonts w:hint="eastAsia"/>
              </w:rPr>
              <w:t>生产/服务过程 □检验检测 ☑产品运输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 xml:space="preserve">          </w:t>
            </w:r>
            <w:r>
              <w:rPr>
                <w:rFonts w:hint="eastAsia"/>
                <w:szCs w:val="22"/>
                <w:u w:val="single"/>
              </w:rPr>
              <w:t xml:space="preserve"> </w:t>
            </w:r>
            <w:r>
              <w:rPr>
                <w:rFonts w:hint="eastAsia"/>
                <w:color w:val="000000"/>
                <w:szCs w:val="18"/>
                <w:u w:val="single"/>
              </w:rPr>
              <w:t>质量为本、服务至上、持续改进、用户满意</w:t>
            </w:r>
            <w:r>
              <w:rPr>
                <w:rFonts w:hint="eastAsia"/>
                <w:b/>
                <w:bCs/>
                <w:u w:val="single"/>
              </w:rPr>
              <w:t xml:space="preserve"> </w:t>
            </w:r>
            <w:r>
              <w:rPr>
                <w:rFonts w:hint="eastAsia"/>
                <w:u w:val="single"/>
              </w:rPr>
              <w:t xml:space="preserve">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pPr>
              <w:jc w:val="left"/>
              <w:rPr>
                <w:rFonts w:hint="eastAsia" w:eastAsia="宋体"/>
                <w:lang w:eastAsia="zh-CN"/>
              </w:rPr>
            </w:pPr>
            <w:r>
              <w:rPr>
                <w:rFonts w:hint="eastAsia"/>
              </w:rPr>
              <w:t>如：☑管理手册第5.3章</w:t>
            </w:r>
            <w:r>
              <w:rPr>
                <w:rFonts w:hint="eastAsia"/>
                <w:lang w:eastAsia="zh-CN"/>
              </w:rPr>
              <w:t>，</w:t>
            </w:r>
            <w:r>
              <w:rPr>
                <w:rFonts w:hint="eastAsia"/>
              </w:rPr>
              <w:t>☑</w:t>
            </w:r>
            <w:r>
              <w:rPr>
                <w:rFonts w:hint="eastAsia"/>
                <w:lang w:eastAsia="zh-CN"/>
              </w:rPr>
              <w:t>《</w:t>
            </w:r>
            <w:r>
              <w:rPr>
                <w:rFonts w:hint="eastAsia"/>
                <w:szCs w:val="22"/>
              </w:rPr>
              <w:t>岗位职责及任职要求</w:t>
            </w:r>
            <w:r>
              <w:rPr>
                <w:rFonts w:hint="eastAsia"/>
                <w:lang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eastAsia" w:eastAsia="宋体"/>
                      <w:lang w:val="en-US" w:eastAsia="zh-CN"/>
                    </w:rPr>
                  </w:pPr>
                  <w:r>
                    <w:rPr>
                      <w:rFonts w:hint="eastAsia"/>
                    </w:rPr>
                    <w:t>过程</w:t>
                  </w:r>
                  <w:r>
                    <w:rPr>
                      <w:rFonts w:hint="eastAsia"/>
                      <w:lang w:val="en-US" w:eastAsia="zh-CN"/>
                    </w:rPr>
                    <w:t>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lang w:val="en-US" w:eastAsia="zh-CN"/>
                    </w:rPr>
                    <w:t>生产</w:t>
                  </w:r>
                  <w:r>
                    <w:rPr>
                      <w:rFonts w:hint="eastAsia"/>
                    </w:rPr>
                    <w:t>过程</w:t>
                  </w:r>
                </w:p>
              </w:tc>
              <w:tc>
                <w:tcPr>
                  <w:tcW w:w="2261" w:type="dxa"/>
                </w:tcPr>
                <w:p>
                  <w:r>
                    <w:rPr>
                      <w:rFonts w:hint="eastAsia"/>
                      <w:lang w:val="en-US" w:eastAsia="zh-CN"/>
                    </w:rPr>
                    <w:t>生产部</w:t>
                  </w:r>
                  <w:r>
                    <w:rPr>
                      <w:rFonts w:hint="eastAsia"/>
                    </w:rPr>
                    <w:t>部</w:t>
                  </w:r>
                </w:p>
              </w:tc>
              <w:tc>
                <w:tcPr>
                  <w:tcW w:w="2261" w:type="dxa"/>
                </w:tcPr>
                <w:p>
                  <w:r>
                    <w:rPr>
                      <w:rFonts w:hint="eastAsia"/>
                    </w:rPr>
                    <w:t>人力资源管理过程</w:t>
                  </w:r>
                </w:p>
              </w:tc>
              <w:tc>
                <w:tcPr>
                  <w:tcW w:w="2261" w:type="dxa"/>
                </w:tcPr>
                <w:p>
                  <w:pPr>
                    <w:rPr>
                      <w:rFonts w:hint="eastAsia" w:eastAsia="宋体"/>
                      <w:lang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lang w:val="en-US" w:eastAsia="zh-CN"/>
                    </w:rPr>
                    <w:t>业务</w:t>
                  </w:r>
                  <w:r>
                    <w:rPr>
                      <w:rFonts w:hint="eastAsia"/>
                    </w:rPr>
                    <w:t>部</w:t>
                  </w:r>
                </w:p>
              </w:tc>
              <w:tc>
                <w:tcPr>
                  <w:tcW w:w="2261" w:type="dxa"/>
                  <w:vAlign w:val="top"/>
                </w:tcPr>
                <w:p>
                  <w:r>
                    <w:rPr>
                      <w:rFonts w:hint="eastAsia"/>
                    </w:rPr>
                    <w:t>生产/服务放行过程</w:t>
                  </w:r>
                </w:p>
              </w:tc>
              <w:tc>
                <w:tcPr>
                  <w:tcW w:w="2261" w:type="dxa"/>
                  <w:vAlign w:val="top"/>
                </w:tcPr>
                <w:p>
                  <w:pPr>
                    <w:rPr>
                      <w:rFonts w:hint="default" w:eastAsia="宋体"/>
                      <w:lang w:val="en-US" w:eastAsia="zh-CN"/>
                    </w:rPr>
                  </w:pPr>
                  <w:r>
                    <w:rPr>
                      <w:rFonts w:hint="eastAsia"/>
                      <w:lang w:val="en-US"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lang w:val="en-US" w:eastAsia="zh-CN"/>
                    </w:rPr>
                    <w:t>综合部</w:t>
                  </w:r>
                  <w:r>
                    <w:rPr>
                      <w:rFonts w:hint="eastAsia"/>
                    </w:rPr>
                    <w:t>部</w:t>
                  </w:r>
                </w:p>
              </w:tc>
              <w:tc>
                <w:tcPr>
                  <w:tcW w:w="2261" w:type="dxa"/>
                </w:tc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风险识别控制程序</w:t>
            </w:r>
            <w:r>
              <w:rPr>
                <w:rFonts w:hint="eastAsia"/>
              </w:rPr>
              <w:t>》、</w:t>
            </w:r>
            <w:r>
              <w:rPr>
                <w:rFonts w:hint="eastAsia"/>
              </w:rPr>
              <w:sym w:font="Wingdings" w:char="00FE"/>
            </w:r>
            <w:r>
              <w:rPr>
                <w:rFonts w:hint="eastAsia"/>
              </w:rPr>
              <w:t>管理手册第6.1条款</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691" w:type="dxa"/>
                </w:tcPr>
                <w:p>
                  <w:r>
                    <w:rPr>
                      <w:rFonts w:hint="eastAsia"/>
                    </w:rPr>
                    <w:t>主要的风险描述</w:t>
                  </w:r>
                </w:p>
              </w:tc>
              <w:tc>
                <w:tcPr>
                  <w:tcW w:w="5350" w:type="dxa"/>
                </w:tcPr>
                <w:p>
                  <w:pPr>
                    <w:rPr>
                      <w:szCs w:val="24"/>
                    </w:rPr>
                  </w:pPr>
                  <w:r>
                    <w:rPr>
                      <w:rFonts w:hint="eastAsia"/>
                    </w:rPr>
                    <w:t>应对措施</w:t>
                  </w:r>
                </w:p>
              </w:tc>
              <w:tc>
                <w:tcPr>
                  <w:tcW w:w="98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szCs w:val="22"/>
                    </w:rPr>
                  </w:pPr>
                  <w:r>
                    <w:rPr>
                      <w:rFonts w:hint="eastAsia"/>
                      <w:szCs w:val="22"/>
                    </w:rPr>
                    <w:t>1、供应商审核：未审核2、供应商产品审核</w:t>
                  </w:r>
                  <w:r>
                    <w:rPr>
                      <w:rFonts w:hint="eastAsia"/>
                      <w:szCs w:val="22"/>
                      <w:lang w:eastAsia="zh-CN"/>
                    </w:rPr>
                    <w:t>：</w:t>
                  </w:r>
                  <w:r>
                    <w:rPr>
                      <w:rFonts w:hint="eastAsia"/>
                      <w:szCs w:val="22"/>
                    </w:rPr>
                    <w:t>资质过期；3、销售人员资质审核</w:t>
                  </w:r>
                  <w:r>
                    <w:rPr>
                      <w:rFonts w:hint="eastAsia"/>
                      <w:szCs w:val="22"/>
                      <w:lang w:eastAsia="zh-CN"/>
                    </w:rPr>
                    <w:t>：</w:t>
                  </w:r>
                  <w:r>
                    <w:rPr>
                      <w:rFonts w:hint="eastAsia"/>
                      <w:szCs w:val="22"/>
                    </w:rPr>
                    <w:t>审核不到位</w:t>
                  </w:r>
                </w:p>
              </w:tc>
              <w:tc>
                <w:tcPr>
                  <w:tcW w:w="5350" w:type="dxa"/>
                </w:tcPr>
                <w:p>
                  <w:pPr>
                    <w:rPr>
                      <w:rFonts w:hint="eastAsia"/>
                      <w:szCs w:val="22"/>
                    </w:rPr>
                  </w:pPr>
                  <w:r>
                    <w:rPr>
                      <w:rFonts w:hint="eastAsia"/>
                      <w:szCs w:val="22"/>
                    </w:rPr>
                    <w:t>1、供应商未经审核，不能确认企业为合格供应商；资质过期，取消合格供应商资格；2、对审核人员加强产品购进管理制度、首营企业和首营品种审核制度及相关程序的培训；3、通过年度产品质量进货评审，对质量信誉不好的企业退出供应，不购进其产品。</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4"/>
                    </w:rPr>
                  </w:pPr>
                  <w:r>
                    <w:rPr>
                      <w:rFonts w:hint="eastAsia"/>
                      <w:szCs w:val="24"/>
                    </w:rPr>
                    <w:t>1、接收非我公司购进的产品；2、接收劣质产品；3、接收产品质量明显缺陷（外观质量问题、短少等）产品。</w:t>
                  </w:r>
                </w:p>
              </w:tc>
              <w:tc>
                <w:tcPr>
                  <w:tcW w:w="5350" w:type="dxa"/>
                </w:tcPr>
                <w:p>
                  <w:r>
                    <w:rPr>
                      <w:rFonts w:hint="eastAsia"/>
                    </w:rPr>
                    <w:t>1、仓库凭经</w:t>
                  </w:r>
                  <w:r>
                    <w:rPr>
                      <w:rFonts w:hint="eastAsia"/>
                      <w:lang w:eastAsia="zh-CN"/>
                    </w:rPr>
                    <w:t>行政部</w:t>
                  </w:r>
                  <w:r>
                    <w:rPr>
                      <w:rFonts w:hint="eastAsia"/>
                    </w:rPr>
                    <w:t>（采购）确认的采购单，接受货物；2、对收货人员加强产品购进管理制度、收货管理制度及程序的培训；3、严格执行产品收货原则。</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4"/>
                    </w:rPr>
                  </w:pPr>
                  <w:r>
                    <w:rPr>
                      <w:rFonts w:hint="eastAsia"/>
                      <w:szCs w:val="24"/>
                    </w:rPr>
                    <w:t>1、没有严格按照操作规程作业；2、相关控制条件不符合要求（人员、设备、环境、参数控制）；3、过程检验特殊工序确认不到位</w:t>
                  </w:r>
                </w:p>
              </w:tc>
              <w:tc>
                <w:tcPr>
                  <w:tcW w:w="5350" w:type="dxa"/>
                </w:tcPr>
                <w:p>
                  <w:r>
                    <w:rPr>
                      <w:rFonts w:hint="eastAsia"/>
                    </w:rPr>
                    <w:t>1、加强作业检查，确保严格按照操作规程作业；2、加强人员上岗培训和考核持证上岗，设备定期检定，环境按要求每日检查记录，参数控制要专人或多人检查；3、加强和定期确认过程检验和特殊工序确认。</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rPr>
                  </w:pPr>
                  <w:r>
                    <w:rPr>
                      <w:rFonts w:hint="eastAsia"/>
                      <w:color w:val="auto"/>
                    </w:rPr>
                    <w:t>主要的机遇描述</w:t>
                  </w:r>
                </w:p>
              </w:tc>
              <w:tc>
                <w:tcPr>
                  <w:tcW w:w="3675" w:type="dxa"/>
                </w:tcPr>
                <w:p>
                  <w:pPr>
                    <w:rPr>
                      <w:color w:val="auto"/>
                      <w:szCs w:val="24"/>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highlight w:val="cyan"/>
                    </w:rPr>
                  </w:pPr>
                  <w:r>
                    <w:rPr>
                      <w:rFonts w:hint="eastAsia" w:ascii="Arial Narrow" w:hAnsi="Arial Narrow" w:cs="宋体"/>
                      <w:kern w:val="0"/>
                      <w:szCs w:val="21"/>
                    </w:rPr>
                    <w:t>产品</w:t>
                  </w:r>
                  <w:r>
                    <w:rPr>
                      <w:rFonts w:ascii="Arial Narrow" w:hAnsi="Arial Narrow" w:cs="宋体"/>
                      <w:kern w:val="0"/>
                      <w:szCs w:val="21"/>
                    </w:rPr>
                    <w:t>质量好</w:t>
                  </w:r>
                </w:p>
              </w:tc>
              <w:tc>
                <w:tcPr>
                  <w:tcW w:w="3675" w:type="dxa"/>
                </w:tcPr>
                <w:p>
                  <w:r>
                    <w:rPr>
                      <w:rFonts w:hint="eastAsia"/>
                    </w:rPr>
                    <w:t>1、</w:t>
                  </w:r>
                  <w:r>
                    <w:rPr>
                      <w:rFonts w:hint="eastAsia"/>
                    </w:rPr>
                    <w:tab/>
                  </w:r>
                  <w:r>
                    <w:rPr>
                      <w:rFonts w:hint="eastAsia"/>
                    </w:rPr>
                    <w:t>组织逐步采用机械自动化作业，尽量减少操作人员的手工操作；</w:t>
                  </w:r>
                </w:p>
                <w:p>
                  <w:pPr>
                    <w:rPr>
                      <w:color w:val="auto"/>
                    </w:rPr>
                  </w:pP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r>
                    <w:rPr>
                      <w:rFonts w:ascii="Arial Narrow" w:hAnsi="Arial Narrow" w:cs="宋体"/>
                      <w:kern w:val="0"/>
                      <w:szCs w:val="21"/>
                    </w:rPr>
                    <w:t>市场需求急剧增加</w:t>
                  </w:r>
                </w:p>
              </w:tc>
              <w:tc>
                <w:tcPr>
                  <w:tcW w:w="3675" w:type="dxa"/>
                </w:tcPr>
                <w:p>
                  <w:r>
                    <w:rPr>
                      <w:rFonts w:hint="eastAsia"/>
                      <w:lang w:val="en-US" w:eastAsia="zh-CN"/>
                    </w:rPr>
                    <w:t>2</w:t>
                  </w:r>
                  <w:r>
                    <w:rPr>
                      <w:rFonts w:hint="eastAsia"/>
                    </w:rPr>
                    <w:t>、</w:t>
                  </w:r>
                  <w:r>
                    <w:rPr>
                      <w:rFonts w:hint="eastAsia"/>
                    </w:rPr>
                    <w:tab/>
                  </w:r>
                  <w:r>
                    <w:rPr>
                      <w:rFonts w:hint="eastAsia"/>
                    </w:rPr>
                    <w:t>逐步规范化作业，降低管理费用；</w:t>
                  </w:r>
                </w:p>
                <w:p>
                  <w:pPr>
                    <w:rPr>
                      <w:color w:val="auto"/>
                    </w:rPr>
                  </w:pP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p>
              </w:tc>
              <w:tc>
                <w:tcPr>
                  <w:tcW w:w="3675" w:type="dxa"/>
                </w:tcPr>
                <w:p>
                  <w:pPr>
                    <w:rPr>
                      <w:color w:val="auto"/>
                    </w:rPr>
                  </w:pPr>
                </w:p>
              </w:tc>
              <w:tc>
                <w:tcPr>
                  <w:tcW w:w="1717" w:type="dxa"/>
                </w:tcPr>
                <w:p>
                  <w:pPr>
                    <w:rPr>
                      <w:color w:val="auto"/>
                    </w:rPr>
                  </w:pPr>
                  <w:r>
                    <w:rPr>
                      <w:rFonts w:hint="eastAsia"/>
                      <w:color w:val="auto"/>
                    </w:rPr>
                    <w:sym w:font="Wingdings" w:char="00A8"/>
                  </w:r>
                  <w:r>
                    <w:rPr>
                      <w:rFonts w:hint="eastAsia"/>
                      <w:color w:val="auto"/>
                    </w:rPr>
                    <w:t>有效</w:t>
                  </w:r>
                  <w:r>
                    <w:rPr>
                      <w:rFonts w:hint="eastAsia"/>
                      <w:color w:val="auto"/>
                    </w:rPr>
                    <w:sym w:font="Wingdings" w:char="00A8"/>
                  </w:r>
                  <w:r>
                    <w:rPr>
                      <w:rFonts w:hint="eastAsia"/>
                      <w:color w:val="auto"/>
                    </w:rPr>
                    <w:t>不足</w:t>
                  </w:r>
                </w:p>
              </w:tc>
            </w:tr>
          </w:tbl>
          <w:p>
            <w:pPr>
              <w:rPr>
                <w:color w:val="auto"/>
              </w:rPr>
            </w:pPr>
          </w:p>
          <w:p>
            <w:r>
              <w:rPr>
                <w:rFonts w:hint="eastAsia"/>
                <w:color w:val="auto"/>
              </w:rPr>
              <w:t>查看</w:t>
            </w:r>
            <w:r>
              <w:rPr>
                <w:rFonts w:hint="eastAsia"/>
                <w:color w:val="auto"/>
              </w:rPr>
              <w:sym w:font="Wingdings" w:char="00FE"/>
            </w:r>
            <w:r>
              <w:rPr>
                <w:rFonts w:hint="eastAsia"/>
                <w:color w:val="auto"/>
              </w:rPr>
              <w:t>《风险识别评估记录表》</w:t>
            </w:r>
            <w:r>
              <w:rPr>
                <w:rFonts w:hint="eastAsia"/>
                <w:color w:val="auto"/>
              </w:rPr>
              <w:sym w:font="Wingdings" w:char="00FE"/>
            </w:r>
            <w:r>
              <w:rPr>
                <w:rFonts w:hint="eastAsia"/>
                <w:color w:val="auto"/>
              </w:rPr>
              <w:t>《</w:t>
            </w:r>
            <w:r>
              <w:rPr>
                <w:rFonts w:hint="eastAsia"/>
                <w:color w:val="auto"/>
                <w:lang w:val="en-US" w:eastAsia="zh-CN"/>
              </w:rPr>
              <w:t>组织风险和机遇控制清单</w:t>
            </w:r>
            <w:r>
              <w:rPr>
                <w:rFonts w:hint="eastAsia"/>
                <w:color w:val="auto"/>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FE"/>
            </w:r>
            <w:r>
              <w:rPr>
                <w:rFonts w:hint="eastAsia"/>
              </w:rPr>
              <w:t>《2019-2020年管理目标完成统计表》</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350"/>
              <w:gridCol w:w="65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szCs w:val="22"/>
                    </w:rPr>
                  </w:pPr>
                  <w:r>
                    <w:rPr>
                      <w:rFonts w:hint="eastAsia"/>
                      <w:szCs w:val="22"/>
                    </w:rPr>
                    <w:t>质量目标</w:t>
                  </w:r>
                </w:p>
              </w:tc>
              <w:tc>
                <w:tcPr>
                  <w:tcW w:w="913" w:type="dxa"/>
                  <w:shd w:val="clear" w:color="auto" w:fill="auto"/>
                </w:tcPr>
                <w:p>
                  <w:pPr>
                    <w:rPr>
                      <w:rFonts w:hint="eastAsia"/>
                      <w:szCs w:val="22"/>
                    </w:rPr>
                  </w:pPr>
                  <w:r>
                    <w:rPr>
                      <w:rFonts w:hint="eastAsia"/>
                      <w:szCs w:val="22"/>
                    </w:rPr>
                    <w:t>目标值</w:t>
                  </w:r>
                </w:p>
              </w:tc>
              <w:tc>
                <w:tcPr>
                  <w:tcW w:w="2350" w:type="dxa"/>
                  <w:shd w:val="clear" w:color="auto" w:fill="auto"/>
                </w:tcPr>
                <w:p>
                  <w:pPr>
                    <w:rPr>
                      <w:rFonts w:hint="eastAsia"/>
                      <w:szCs w:val="22"/>
                    </w:rPr>
                  </w:pPr>
                  <w:r>
                    <w:rPr>
                      <w:rFonts w:hint="eastAsia"/>
                      <w:szCs w:val="22"/>
                    </w:rPr>
                    <w:t>计算方法</w:t>
                  </w:r>
                </w:p>
              </w:tc>
              <w:tc>
                <w:tcPr>
                  <w:tcW w:w="650" w:type="dxa"/>
                  <w:shd w:val="clear" w:color="auto" w:fill="auto"/>
                </w:tcPr>
                <w:p>
                  <w:pPr>
                    <w:rPr>
                      <w:rFonts w:hint="eastAsia"/>
                      <w:szCs w:val="22"/>
                    </w:rPr>
                  </w:pPr>
                  <w:r>
                    <w:rPr>
                      <w:rFonts w:hint="eastAsia"/>
                      <w:szCs w:val="22"/>
                    </w:rPr>
                    <w:t>频次</w:t>
                  </w:r>
                </w:p>
              </w:tc>
              <w:tc>
                <w:tcPr>
                  <w:tcW w:w="2923" w:type="dxa"/>
                  <w:shd w:val="clear" w:color="auto" w:fill="auto"/>
                </w:tcPr>
                <w:p>
                  <w:pPr>
                    <w:rPr>
                      <w:rFonts w:hint="eastAsia"/>
                      <w:szCs w:val="22"/>
                    </w:rPr>
                  </w:pPr>
                  <w:r>
                    <w:rPr>
                      <w:rFonts w:hint="eastAsia"/>
                    </w:rPr>
                    <w:t>2019-2020年</w:t>
                  </w:r>
                  <w:r>
                    <w:rPr>
                      <w:rFonts w:hint="eastAsia"/>
                      <w:szCs w:val="22"/>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产品一次交</w:t>
                  </w:r>
                  <w:r>
                    <w:rPr>
                      <w:rFonts w:hint="eastAsia" w:cs="Times New Roman"/>
                      <w:kern w:val="2"/>
                      <w:sz w:val="21"/>
                      <w:szCs w:val="22"/>
                      <w:lang w:val="en-US" w:eastAsia="zh-CN" w:bidi="ar-SA"/>
                    </w:rPr>
                    <w:t>检</w:t>
                  </w:r>
                  <w:r>
                    <w:rPr>
                      <w:rFonts w:hint="eastAsia" w:ascii="Times New Roman" w:hAnsi="Times New Roman" w:eastAsia="宋体" w:cs="Times New Roman"/>
                      <w:kern w:val="2"/>
                      <w:sz w:val="21"/>
                      <w:szCs w:val="22"/>
                      <w:lang w:val="en-US" w:eastAsia="zh-CN" w:bidi="ar-SA"/>
                    </w:rPr>
                    <w:t>合格率</w:t>
                  </w:r>
                </w:p>
              </w:tc>
              <w:tc>
                <w:tcPr>
                  <w:tcW w:w="913" w:type="dxa"/>
                  <w:shd w:val="clear" w:color="auto" w:fill="auto"/>
                  <w:vAlign w:val="center"/>
                </w:tcPr>
                <w:p>
                  <w:pPr>
                    <w:pStyle w:val="4"/>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≥98%</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合格数/交付数×100%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4"/>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顾客满意</w:t>
                  </w:r>
                </w:p>
              </w:tc>
              <w:tc>
                <w:tcPr>
                  <w:tcW w:w="913" w:type="dxa"/>
                  <w:shd w:val="clear" w:color="auto" w:fill="auto"/>
                  <w:vAlign w:val="center"/>
                </w:tcPr>
                <w:p>
                  <w:pPr>
                    <w:pStyle w:val="4"/>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≥90分</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数据统计分析</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季度</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1500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bookmarkStart w:id="2" w:name="_GoBack"/>
            <w:bookmarkEnd w:id="2"/>
            <w:r>
              <w:rPr>
                <w:rFonts w:hint="eastAsia"/>
                <w:color w:val="auto"/>
                <w:u w:val="single"/>
              </w:rPr>
              <w:t xml:space="preserve">  </w:t>
            </w:r>
            <w:r>
              <w:rPr>
                <w:rFonts w:hint="eastAsia"/>
                <w:color w:val="auto"/>
              </w:rPr>
              <w:t>个；</w:t>
            </w:r>
          </w:p>
          <w:p>
            <w:pPr>
              <w:rPr>
                <w:u w:val="single"/>
              </w:rPr>
            </w:pPr>
            <w:r>
              <w:rPr>
                <w:rFonts w:hint="eastAsia"/>
              </w:rPr>
              <w:t>主要生产设备有：</w:t>
            </w:r>
            <w:r>
              <w:rPr>
                <w:rFonts w:hint="eastAsia"/>
                <w:u w:val="single"/>
              </w:rPr>
              <w:t xml:space="preserve"> 七氟丙烷药剂充装台，电动套丝机，钻铣攻丝机，台式砂轮机</w:t>
            </w:r>
            <w:r>
              <w:rPr>
                <w:rFonts w:hint="eastAsia"/>
                <w:color w:val="000000"/>
                <w:u w:val="single"/>
                <w:lang w:val="en-US" w:eastAsia="zh-CN"/>
              </w:rPr>
              <w:t>，</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产品（成品）运输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如：人力资源控制程序</w:t>
            </w:r>
            <w:r>
              <w:rPr>
                <w:rFonts w:hint="eastAsia"/>
                <w:lang w:eastAsia="zh-CN"/>
              </w:rPr>
              <w:t>，</w:t>
            </w:r>
            <w:r>
              <w:rPr>
                <w:rFonts w:hint="eastAsia"/>
              </w:rPr>
              <w:t>手册第7.1条款、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auto"/>
                      <w:szCs w:val="21"/>
                    </w:rPr>
                  </w:pPr>
                  <w:r>
                    <w:rPr>
                      <w:rFonts w:hint="eastAsia"/>
                      <w:color w:val="auto"/>
                    </w:rPr>
                    <w:t>管理人员数</w:t>
                  </w:r>
                </w:p>
              </w:tc>
              <w:tc>
                <w:tcPr>
                  <w:tcW w:w="1292" w:type="dxa"/>
                </w:tcPr>
                <w:p>
                  <w:pPr>
                    <w:rPr>
                      <w:color w:val="auto"/>
                      <w:szCs w:val="21"/>
                    </w:rPr>
                  </w:pPr>
                  <w:r>
                    <w:rPr>
                      <w:rFonts w:hint="eastAsia"/>
                      <w:color w:val="auto"/>
                    </w:rPr>
                    <w:t>技术人员数</w:t>
                  </w:r>
                </w:p>
              </w:tc>
              <w:tc>
                <w:tcPr>
                  <w:tcW w:w="1292" w:type="dxa"/>
                </w:tcPr>
                <w:p>
                  <w:pPr>
                    <w:rPr>
                      <w:color w:val="auto"/>
                      <w:szCs w:val="21"/>
                    </w:rPr>
                  </w:pPr>
                  <w:r>
                    <w:rPr>
                      <w:rFonts w:hint="eastAsia"/>
                      <w:color w:val="auto"/>
                      <w:szCs w:val="21"/>
                    </w:rPr>
                    <w:t>临时工数</w:t>
                  </w:r>
                </w:p>
              </w:tc>
              <w:tc>
                <w:tcPr>
                  <w:tcW w:w="1292" w:type="dxa"/>
                </w:tcPr>
                <w:p>
                  <w:pPr>
                    <w:rPr>
                      <w:color w:val="auto"/>
                      <w:szCs w:val="21"/>
                    </w:rPr>
                  </w:pPr>
                  <w:r>
                    <w:rPr>
                      <w:rFonts w:hint="eastAsia"/>
                      <w:color w:val="auto"/>
                      <w:szCs w:val="21"/>
                    </w:rPr>
                    <w:t>季节工数</w:t>
                  </w:r>
                </w:p>
              </w:tc>
              <w:tc>
                <w:tcPr>
                  <w:tcW w:w="1292" w:type="dxa"/>
                </w:tcPr>
                <w:p>
                  <w:pPr>
                    <w:rPr>
                      <w:color w:val="auto"/>
                      <w:szCs w:val="21"/>
                    </w:rPr>
                  </w:pPr>
                  <w:r>
                    <w:rPr>
                      <w:rFonts w:hint="eastAsia"/>
                      <w:color w:val="auto"/>
                      <w:szCs w:val="21"/>
                    </w:rPr>
                    <w:t>辅助人员数</w:t>
                  </w:r>
                </w:p>
              </w:tc>
              <w:tc>
                <w:tcPr>
                  <w:tcW w:w="1292" w:type="dxa"/>
                </w:tcPr>
                <w:p>
                  <w:pPr>
                    <w:rPr>
                      <w:color w:val="auto"/>
                      <w:szCs w:val="21"/>
                    </w:rPr>
                  </w:pPr>
                  <w:r>
                    <w:rPr>
                      <w:rFonts w:hint="eastAsia"/>
                      <w:color w:val="auto"/>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auto"/>
                      <w:szCs w:val="21"/>
                      <w:lang w:eastAsia="zh-CN"/>
                    </w:rPr>
                  </w:pPr>
                  <w:r>
                    <w:rPr>
                      <w:rFonts w:hint="eastAsia"/>
                      <w:color w:val="auto"/>
                      <w:szCs w:val="21"/>
                      <w:lang w:val="en-US" w:eastAsia="zh-CN"/>
                    </w:rPr>
                    <w:t>4</w:t>
                  </w:r>
                </w:p>
              </w:tc>
              <w:tc>
                <w:tcPr>
                  <w:tcW w:w="1292" w:type="dxa"/>
                </w:tcPr>
                <w:p>
                  <w:pPr>
                    <w:rPr>
                      <w:rFonts w:hint="default" w:eastAsia="宋体"/>
                      <w:color w:val="auto"/>
                      <w:szCs w:val="21"/>
                      <w:lang w:val="en-US" w:eastAsia="zh-CN"/>
                    </w:rPr>
                  </w:pPr>
                  <w:r>
                    <w:rPr>
                      <w:rFonts w:hint="eastAsia"/>
                      <w:color w:val="auto"/>
                      <w:szCs w:val="21"/>
                      <w:lang w:val="en-US" w:eastAsia="zh-CN"/>
                    </w:rPr>
                    <w:t>17</w:t>
                  </w:r>
                </w:p>
              </w:tc>
              <w:tc>
                <w:tcPr>
                  <w:tcW w:w="1292" w:type="dxa"/>
                </w:tcPr>
                <w:p>
                  <w:pPr>
                    <w:rPr>
                      <w:color w:val="auto"/>
                      <w:szCs w:val="21"/>
                    </w:rPr>
                  </w:pPr>
                  <w:r>
                    <w:rPr>
                      <w:rFonts w:hint="eastAsia"/>
                      <w:color w:val="auto"/>
                      <w:szCs w:val="21"/>
                    </w:rPr>
                    <w:t>0</w:t>
                  </w:r>
                </w:p>
              </w:tc>
              <w:tc>
                <w:tcPr>
                  <w:tcW w:w="1292" w:type="dxa"/>
                </w:tcPr>
                <w:p>
                  <w:pPr>
                    <w:rPr>
                      <w:color w:val="auto"/>
                      <w:szCs w:val="21"/>
                    </w:rPr>
                  </w:pPr>
                  <w:r>
                    <w:rPr>
                      <w:rFonts w:hint="eastAsia"/>
                      <w:color w:val="auto"/>
                      <w:szCs w:val="21"/>
                    </w:rPr>
                    <w:t>0</w:t>
                  </w:r>
                </w:p>
              </w:tc>
              <w:tc>
                <w:tcPr>
                  <w:tcW w:w="1292" w:type="dxa"/>
                </w:tcPr>
                <w:p>
                  <w:pPr>
                    <w:rPr>
                      <w:rFonts w:hint="eastAsia" w:eastAsia="宋体"/>
                      <w:color w:val="auto"/>
                      <w:szCs w:val="21"/>
                      <w:lang w:eastAsia="zh-CN"/>
                    </w:rPr>
                  </w:pPr>
                  <w:r>
                    <w:rPr>
                      <w:rFonts w:hint="eastAsia"/>
                      <w:color w:val="auto"/>
                      <w:szCs w:val="21"/>
                      <w:lang w:val="en-US" w:eastAsia="zh-CN"/>
                    </w:rPr>
                    <w:t>0</w:t>
                  </w:r>
                </w:p>
              </w:tc>
              <w:tc>
                <w:tcPr>
                  <w:tcW w:w="1292" w:type="dxa"/>
                </w:tcPr>
                <w:p>
                  <w:pPr>
                    <w:rPr>
                      <w:rFonts w:hint="default" w:eastAsia="宋体"/>
                      <w:color w:val="auto"/>
                      <w:szCs w:val="21"/>
                      <w:lang w:val="en-US" w:eastAsia="zh-CN"/>
                    </w:rPr>
                  </w:pPr>
                  <w:r>
                    <w:rPr>
                      <w:rFonts w:hint="eastAsia"/>
                      <w:color w:val="auto"/>
                      <w:szCs w:val="21"/>
                      <w:lang w:val="en-US" w:eastAsia="zh-CN"/>
                    </w:rPr>
                    <w:t>21</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知识产权；从经验获得的知识；从失败和成功项目吸取的经验和教训；获取和分享未成文件的知识和经验；以及过程、产品和服务的改进结果</w:t>
                  </w:r>
                </w:p>
              </w:tc>
              <w:tc>
                <w:tcPr>
                  <w:tcW w:w="1809" w:type="dxa"/>
                </w:tcPr>
                <w:p>
                  <w:pPr>
                    <w:rPr>
                      <w:rFonts w:hint="eastAsia" w:eastAsia="宋体"/>
                      <w:lang w:eastAsia="zh-CN"/>
                    </w:rPr>
                  </w:pPr>
                  <w:r>
                    <w:rPr>
                      <w:rFonts w:hint="eastAsia"/>
                      <w:lang w:val="en-US" w:eastAsia="zh-CN"/>
                    </w:rPr>
                    <w:t>综合部</w:t>
                  </w:r>
                </w:p>
                <w:p>
                  <w:pPr>
                    <w:rPr>
                      <w:rFonts w:hint="eastAsia" w:eastAsia="宋体"/>
                      <w:lang w:eastAsia="zh-CN"/>
                    </w:rPr>
                  </w:pPr>
                  <w:r>
                    <w:rPr>
                      <w:rFonts w:hint="eastAsia"/>
                    </w:rPr>
                    <w:t>生</w:t>
                  </w:r>
                  <w:r>
                    <w:rPr>
                      <w:rFonts w:hint="eastAsia"/>
                      <w:lang w:val="en-US" w:eastAsia="zh-CN"/>
                    </w:rPr>
                    <w:t>产部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标准、学术交流、专业会议、从顾客或外部供方收集的知识</w:t>
                  </w:r>
                </w:p>
              </w:tc>
              <w:tc>
                <w:tcPr>
                  <w:tcW w:w="1809" w:type="dxa"/>
                </w:tcPr>
                <w:p>
                  <w:pPr>
                    <w:rPr>
                      <w:rFonts w:hint="eastAsia" w:eastAsia="宋体"/>
                      <w:lang w:eastAsia="zh-CN"/>
                    </w:rPr>
                  </w:pPr>
                  <w:r>
                    <w:rPr>
                      <w:rFonts w:hint="eastAsia"/>
                      <w:lang w:val="en-US" w:eastAsia="zh-CN"/>
                    </w:rPr>
                    <w:t>综合部</w:t>
                  </w:r>
                </w:p>
                <w:p>
                  <w:pPr>
                    <w:rPr>
                      <w:rFonts w:hint="eastAsia" w:eastAsia="宋体"/>
                      <w:lang w:eastAsia="zh-CN"/>
                    </w:rPr>
                  </w:pPr>
                  <w:r>
                    <w:rPr>
                      <w:rFonts w:hint="eastAsia"/>
                    </w:rPr>
                    <w:t>生</w:t>
                  </w:r>
                  <w:r>
                    <w:rPr>
                      <w:rFonts w:hint="eastAsia"/>
                      <w:lang w:val="en-US" w:eastAsia="zh-CN"/>
                    </w:rPr>
                    <w:t>产部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《管理评审程序》</w:t>
            </w:r>
            <w:r>
              <w:rPr>
                <w:rFonts w:hint="eastAsia"/>
              </w:rPr>
              <w:sym w:font="Wingdings" w:char="00FE"/>
            </w:r>
            <w:r>
              <w:rPr>
                <w:rFonts w:hint="eastAsia"/>
              </w:rPr>
              <w:t>手册第9.3条款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lang w:eastAsia="zh-CN"/>
                    </w:rPr>
                    <w:t>□</w:t>
                  </w:r>
                  <w:r>
                    <w:rPr>
                      <w:rFonts w:hint="eastAsia"/>
                      <w:color w:val="000000"/>
                      <w:szCs w:val="21"/>
                    </w:rPr>
                    <w:t xml:space="preserve">符合 </w:t>
                  </w:r>
                  <w:r>
                    <w:rPr>
                      <w:rFonts w:hint="eastAsia"/>
                      <w:color w:val="000000"/>
                      <w:szCs w:val="21"/>
                      <w:lang w:eastAsia="zh-CN"/>
                    </w:rPr>
                    <w:t>☑</w:t>
                  </w:r>
                  <w:r>
                    <w:rPr>
                      <w:rFonts w:hint="eastAsia"/>
                      <w:color w:val="000000"/>
                      <w:szCs w:val="21"/>
                    </w:rPr>
                    <w:t>不符合</w:t>
                  </w:r>
                </w:p>
              </w:tc>
              <w:tc>
                <w:tcPr>
                  <w:tcW w:w="2816" w:type="dxa"/>
                </w:tcPr>
                <w:p>
                  <w:pPr>
                    <w:widowControl/>
                    <w:spacing w:before="40"/>
                    <w:jc w:val="left"/>
                    <w:rPr>
                      <w:rFonts w:hint="default" w:eastAsia="宋体"/>
                      <w:color w:val="000000"/>
                      <w:szCs w:val="21"/>
                      <w:highlight w:val="cyan"/>
                      <w:lang w:val="en-US" w:eastAsia="zh-CN"/>
                    </w:rPr>
                  </w:pPr>
                  <w:r>
                    <w:rPr>
                      <w:rFonts w:hint="eastAsia"/>
                      <w:color w:val="000000"/>
                      <w:szCs w:val="21"/>
                      <w:highlight w:val="none"/>
                      <w:lang w:val="en-US" w:eastAsia="zh-CN"/>
                    </w:rPr>
                    <w:t>初次认证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暂无</w:t>
                  </w:r>
                </w:p>
              </w:tc>
            </w:tr>
          </w:tbl>
          <w:p>
            <w:pPr>
              <w:widowControl/>
              <w:spacing w:before="40"/>
              <w:jc w:val="left"/>
              <w:rPr>
                <w:rFonts w:hint="eastAsia"/>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numPr>
                      <w:ilvl w:val="0"/>
                      <w:numId w:val="2"/>
                    </w:numPr>
                    <w:rPr>
                      <w:rFonts w:hint="eastAsia" w:ascii="宋体" w:hAnsi="宋体" w:eastAsia="宋体"/>
                      <w:b w:val="0"/>
                      <w:szCs w:val="24"/>
                    </w:rPr>
                  </w:pPr>
                  <w:r>
                    <w:rPr>
                      <w:rFonts w:hint="eastAsia" w:ascii="宋体" w:hAnsi="宋体" w:eastAsia="宋体"/>
                      <w:b w:val="0"/>
                      <w:szCs w:val="24"/>
                    </w:rPr>
                    <w:t>在销售过程中,设置了供应商的选择评价机制，消除或者减少了潜在的质量事故的发生。</w:t>
                  </w:r>
                </w:p>
                <w:p>
                  <w:pPr>
                    <w:numPr>
                      <w:ilvl w:val="0"/>
                      <w:numId w:val="2"/>
                    </w:numPr>
                    <w:rPr>
                      <w:rFonts w:hint="eastAsia" w:ascii="宋体" w:hAnsi="宋体" w:eastAsia="宋体"/>
                      <w:b w:val="0"/>
                      <w:szCs w:val="24"/>
                    </w:rPr>
                  </w:pPr>
                  <w:r>
                    <w:rPr>
                      <w:rFonts w:hint="eastAsia" w:ascii="宋体" w:hAnsi="宋体" w:eastAsia="宋体"/>
                      <w:b w:val="0"/>
                      <w:szCs w:val="24"/>
                    </w:rPr>
                    <w:t>在销售岗位的控制上,制定了作业指导文件,并由</w:t>
                  </w:r>
                  <w:r>
                    <w:rPr>
                      <w:rFonts w:hint="eastAsia" w:ascii="宋体" w:hAnsi="宋体" w:eastAsia="宋体"/>
                      <w:b w:val="0"/>
                      <w:szCs w:val="24"/>
                      <w:lang w:eastAsia="zh-CN"/>
                    </w:rPr>
                    <w:t>业务部</w:t>
                  </w:r>
                  <w:r>
                    <w:rPr>
                      <w:rFonts w:hint="eastAsia" w:ascii="宋体" w:hAnsi="宋体" w:eastAsia="宋体"/>
                      <w:b w:val="0"/>
                      <w:szCs w:val="24"/>
                    </w:rPr>
                    <w:t>经理进行监督,达到满足客户要求的质量和产品性能.</w:t>
                  </w:r>
                </w:p>
                <w:p>
                  <w:pPr>
                    <w:numPr>
                      <w:ilvl w:val="0"/>
                      <w:numId w:val="2"/>
                    </w:numPr>
                    <w:rPr>
                      <w:rFonts w:hint="eastAsia" w:eastAsia="仿宋_GB2312"/>
                      <w:color w:val="000000"/>
                      <w:szCs w:val="21"/>
                      <w:lang w:eastAsia="zh-CN"/>
                    </w:rPr>
                  </w:pPr>
                  <w:r>
                    <w:rPr>
                      <w:rFonts w:hint="eastAsia" w:ascii="宋体" w:hAnsi="宋体" w:eastAsia="宋体"/>
                      <w:b w:val="0"/>
                      <w:szCs w:val="24"/>
                    </w:rPr>
                    <w:t>加强部门管理与服务改善，以改进销售服务效率。</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投入资金</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rFonts w:hint="eastAsia"/>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管理手册9.1.1章</w:t>
            </w:r>
            <w:r>
              <w:rPr>
                <w:rFonts w:hint="eastAsia"/>
                <w:lang w:eastAsia="zh-CN"/>
              </w:rPr>
              <w:t>，</w:t>
            </w:r>
            <w:r>
              <w:rPr>
                <w:rFonts w:hint="eastAsia"/>
              </w:rPr>
              <w:sym w:font="Wingdings" w:char="00FE"/>
            </w:r>
            <w:r>
              <w:rPr>
                <w:rFonts w:hint="eastAsia"/>
                <w:lang w:eastAsia="zh-CN"/>
              </w:rPr>
              <w:t>《监视和测量装置管理程序》</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管理手册10.3章</w:t>
            </w:r>
            <w:r>
              <w:rPr>
                <w:rFonts w:hint="eastAsia"/>
                <w:lang w:eastAsia="zh-CN"/>
              </w:rPr>
              <w:t>，</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lang w:eastAsia="zh-CN"/>
                    </w:rPr>
                    <w:t>☑</w:t>
                  </w:r>
                  <w:r>
                    <w:rPr>
                      <w:rFonts w:hint="eastAsia"/>
                    </w:rPr>
                    <w:t xml:space="preserve">每季度 </w:t>
                  </w:r>
                  <w:r>
                    <w:rPr>
                      <w:rFonts w:hint="eastAsia"/>
                      <w:color w:val="000000"/>
                      <w:szCs w:val="21"/>
                      <w:lang w:eastAsia="zh-CN"/>
                    </w:rPr>
                    <w:t>□</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lang w:eastAsia="zh-CN"/>
                    </w:rPr>
                    <w:t>□</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tc>
              <w:tc>
                <w:tcPr>
                  <w:tcW w:w="2651" w:type="dxa"/>
                </w:tcPr>
                <w:p/>
              </w:tc>
              <w:tc>
                <w:tcPr>
                  <w:tcW w:w="1811" w:type="dxa"/>
                </w:tcPr>
                <w:p>
                  <w:pPr>
                    <w:widowControl/>
                    <w:spacing w:before="40"/>
                    <w:jc w:val="left"/>
                    <w:rPr>
                      <w:color w:val="000000"/>
                      <w:szCs w:val="21"/>
                    </w:rPr>
                  </w:pPr>
                </w:p>
              </w:tc>
              <w:tc>
                <w:tcPr>
                  <w:tcW w:w="1342" w:type="dxa"/>
                </w:tcPr>
                <w:p/>
              </w:tc>
              <w:tc>
                <w:tcPr>
                  <w:tcW w:w="1314" w:type="dxa"/>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3E1740B2"/>
    <w:multiLevelType w:val="multilevel"/>
    <w:tmpl w:val="3E1740B2"/>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2AC2E4B"/>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1F57D5"/>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A90BB2"/>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1113</Words>
  <Characters>6348</Characters>
  <Lines>52</Lines>
  <Paragraphs>14</Paragraphs>
  <TotalTime>13</TotalTime>
  <ScaleCrop>false</ScaleCrop>
  <LinksUpToDate>false</LinksUpToDate>
  <CharactersWithSpaces>7447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2020-05-19T06:41:15Z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