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0200-2020-Q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中盛消防设备有限公司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中盛消防设备有限公司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福建省南安市扶茂工业园后畲180号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362300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福建省南安市扶茂工业园后畲180号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362300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徐诗筑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18159225691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徐诗筑</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徐志豪</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资质范围内灭火设备的生产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18.05.07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themeColor="text1"/>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z w:val="20"/>
          <w:szCs w:val="20"/>
        </w:rPr>
        <w:t>本次一阶段审核未在现场进行</w:t>
      </w:r>
      <w:r>
        <w:rPr>
          <w:rFonts w:ascii="宋体" w:hAnsi="宋体"/>
          <w:b/>
          <w:color w:val="000000" w:themeColor="text1"/>
          <w:sz w:val="20"/>
          <w:szCs w:val="20"/>
        </w:rPr>
        <w:t xml:space="preserve">, </w:t>
      </w:r>
      <w:r>
        <w:rPr>
          <w:rFonts w:hint="eastAsia" w:ascii="宋体" w:hAnsi="宋体"/>
          <w:b/>
          <w:color w:val="000000" w:themeColor="text1"/>
          <w:sz w:val="20"/>
          <w:szCs w:val="20"/>
          <w:lang w:val="en-US" w:eastAsia="zh-CN"/>
        </w:rPr>
        <w:t>评审的文件包括：手册，程序文件等，</w:t>
      </w:r>
      <w:r>
        <w:rPr>
          <w:rFonts w:hint="eastAsia" w:ascii="宋体" w:hAnsi="宋体"/>
          <w:b/>
          <w:color w:val="000000" w:themeColor="text1"/>
          <w:sz w:val="20"/>
          <w:szCs w:val="20"/>
        </w:rPr>
        <w:t>本次评审的文件有组织体系策划情况、文件的符合性评价及要求修改或说明的问题见本报告附件</w:t>
      </w:r>
      <w:r>
        <w:rPr>
          <w:rFonts w:ascii="宋体" w:hAnsi="宋体"/>
          <w:b/>
          <w:color w:val="000000" w:themeColor="text1"/>
          <w:sz w:val="20"/>
          <w:szCs w:val="20"/>
        </w:rPr>
        <w:t>(</w:t>
      </w:r>
      <w:r>
        <w:rPr>
          <w:rFonts w:hint="eastAsia" w:ascii="宋体" w:hAnsi="宋体"/>
          <w:b/>
          <w:color w:val="000000" w:themeColor="text1"/>
          <w:sz w:val="20"/>
          <w:szCs w:val="20"/>
        </w:rPr>
        <w:t>管理体系文件评审告</w:t>
      </w:r>
      <w:r>
        <w:rPr>
          <w:rFonts w:ascii="宋体" w:hAnsi="宋体"/>
          <w:b/>
          <w:color w:val="000000" w:themeColor="text1"/>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color w:val="000000"/>
          <w:sz w:val="24"/>
          <w:szCs w:val="24"/>
          <w:lang w:val="en-US" w:eastAsia="zh-CN"/>
        </w:rPr>
        <w:t>生产部  业务部  综合部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生产加工场所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远程审核</w:t>
      </w:r>
      <w:r>
        <w:rPr>
          <w:rFonts w:hint="eastAsia" w:ascii="宋体" w:hAnsi="宋体"/>
          <w:b/>
          <w:color w:val="000000"/>
          <w:sz w:val="20"/>
          <w:szCs w:val="20"/>
        </w:rPr>
        <w:t>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远程审核</w:t>
      </w:r>
      <w:r>
        <w:rPr>
          <w:rFonts w:hint="eastAsia" w:ascii="宋体" w:hAnsi="宋体"/>
          <w:b/>
          <w:color w:val="000000"/>
          <w:sz w:val="20"/>
          <w:szCs w:val="20"/>
        </w:rPr>
        <w:t>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color w:val="000000"/>
                <w:szCs w:val="21"/>
                <w:u w:val="single"/>
              </w:rPr>
              <w:t>资质范围内灭火设备的生产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生产部  业务部  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hAnsi="宋体"/>
                <w:b/>
                <w:bCs/>
                <w:color w:val="000000"/>
                <w:sz w:val="20"/>
                <w:szCs w:val="20"/>
              </w:rPr>
              <w:t>——不适用</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leftChars="0" w:hanging="360" w:firstLineChars="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受审核方现场是否属于高风险地区</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tabs>
                <w:tab w:val="left" w:pos="360"/>
              </w:tabs>
              <w:ind w:left="357" w:hanging="357"/>
              <w:rPr>
                <w:rFonts w:ascii="宋体"/>
                <w:b/>
                <w:color w:val="000000" w:themeColor="text1"/>
                <w:sz w:val="20"/>
                <w:szCs w:val="20"/>
              </w:rPr>
            </w:pPr>
            <w:r>
              <w:rPr>
                <w:rFonts w:hint="eastAsia" w:ascii="宋体" w:hAnsi="宋体"/>
                <w:color w:val="000000" w:themeColor="text1"/>
                <w:sz w:val="20"/>
                <w:szCs w:val="20"/>
              </w:rPr>
              <w:t>受审核方现场周边是否具有危险性场所，如化工厂、加油站等</w:t>
            </w:r>
            <w:r>
              <w:rPr>
                <w:rFonts w:hint="eastAsia" w:ascii="宋体" w:hAnsi="宋体"/>
                <w:color w:val="000000" w:themeColor="text1"/>
                <w:spacing w:val="-10"/>
                <w:sz w:val="20"/>
                <w:szCs w:val="20"/>
              </w:rPr>
              <w:t>□</w:t>
            </w:r>
            <w:r>
              <w:rPr>
                <w:rFonts w:hint="eastAsia" w:ascii="宋体" w:hAnsi="宋体"/>
                <w:color w:val="000000" w:themeColor="text1"/>
                <w:sz w:val="20"/>
                <w:szCs w:val="20"/>
              </w:rPr>
              <w:t>有</w:t>
            </w:r>
            <w:r>
              <w:rPr>
                <w:rFonts w:hint="eastAsia" w:ascii="宋体" w:hAnsi="宋体"/>
                <w:color w:val="000000" w:themeColor="text1"/>
                <w:sz w:val="20"/>
                <w:szCs w:val="20"/>
                <w:lang w:eastAsia="zh-CN"/>
              </w:rPr>
              <w:t>☑</w:t>
            </w:r>
            <w:r>
              <w:rPr>
                <w:rFonts w:hint="eastAsia" w:ascii="宋体" w:hAnsi="宋体"/>
                <w:color w:val="000000" w:themeColor="text1"/>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auto"/>
                <w:sz w:val="20"/>
                <w:szCs w:val="20"/>
              </w:rPr>
            </w:pPr>
            <w:r>
              <w:rPr>
                <w:rFonts w:hint="eastAsia" w:ascii="宋体" w:hAnsi="宋体"/>
                <w:color w:val="auto"/>
                <w:sz w:val="20"/>
                <w:szCs w:val="20"/>
              </w:rPr>
              <w:t>受审核方认证范围内的产品的技术标准，及符合性证据</w:t>
            </w:r>
          </w:p>
          <w:p>
            <w:pPr>
              <w:ind w:left="-1" w:leftChars="-1" w:hanging="1"/>
              <w:jc w:val="left"/>
              <w:rPr>
                <w:rFonts w:ascii="宋体"/>
                <w:color w:val="auto"/>
                <w:spacing w:val="-10"/>
                <w:sz w:val="20"/>
                <w:szCs w:val="20"/>
              </w:rPr>
            </w:pPr>
            <w:r>
              <w:rPr>
                <w:rFonts w:hint="eastAsia" w:ascii="宋体" w:hAnsi="宋体"/>
                <w:color w:val="auto"/>
                <w:spacing w:val="-10"/>
                <w:sz w:val="20"/>
                <w:szCs w:val="20"/>
              </w:rPr>
              <w:t>（</w:t>
            </w:r>
            <w:r>
              <w:rPr>
                <w:rFonts w:ascii="宋体" w:hAnsi="宋体"/>
                <w:color w:val="auto"/>
                <w:spacing w:val="-10"/>
                <w:sz w:val="20"/>
                <w:szCs w:val="20"/>
              </w:rPr>
              <w:t>QMS</w:t>
            </w:r>
            <w:r>
              <w:rPr>
                <w:rFonts w:hint="eastAsia" w:ascii="宋体" w:hAnsi="宋体"/>
                <w:color w:val="auto"/>
                <w:spacing w:val="-10"/>
                <w:sz w:val="20"/>
                <w:szCs w:val="20"/>
              </w:rPr>
              <w:t>适用）</w:t>
            </w:r>
          </w:p>
        </w:tc>
        <w:tc>
          <w:tcPr>
            <w:tcW w:w="7427" w:type="dxa"/>
            <w:gridSpan w:val="3"/>
          </w:tcPr>
          <w:p>
            <w:pPr>
              <w:rPr>
                <w:rFonts w:hint="default" w:ascii="宋体" w:eastAsia="宋体"/>
                <w:color w:val="auto"/>
                <w:spacing w:val="-10"/>
                <w:sz w:val="20"/>
                <w:szCs w:val="20"/>
                <w:lang w:val="en-US" w:eastAsia="zh-CN"/>
              </w:rPr>
            </w:pPr>
            <w:r>
              <w:rPr>
                <w:rFonts w:hint="eastAsia" w:ascii="宋体" w:hAnsi="宋体"/>
                <w:color w:val="auto"/>
                <w:spacing w:val="-10"/>
                <w:sz w:val="20"/>
                <w:szCs w:val="20"/>
                <w:lang w:eastAsia="zh-CN"/>
              </w:rPr>
              <w:t>☑</w:t>
            </w:r>
            <w:r>
              <w:rPr>
                <w:rFonts w:hint="eastAsia" w:ascii="宋体" w:hAnsi="宋体"/>
                <w:color w:val="auto"/>
                <w:spacing w:val="-10"/>
                <w:sz w:val="20"/>
                <w:szCs w:val="20"/>
              </w:rPr>
              <w:t>产品技术标准号：</w:t>
            </w:r>
            <w:r>
              <w:rPr>
                <w:rFonts w:hint="eastAsia"/>
                <w:color w:val="auto"/>
                <w:u w:val="single"/>
                <w:lang w:val="en-US" w:eastAsia="zh-CN"/>
              </w:rPr>
              <w:t>GB16670-2006《柜式气体灭火装置》</w:t>
            </w:r>
            <w:r>
              <w:rPr>
                <w:rFonts w:hint="eastAsia" w:ascii="宋体" w:hAnsi="宋体"/>
                <w:color w:val="auto"/>
                <w:spacing w:val="-10"/>
                <w:sz w:val="20"/>
                <w:szCs w:val="20"/>
                <w:lang w:eastAsia="zh-CN"/>
              </w:rPr>
              <w:t>□</w:t>
            </w: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auto"/>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auto"/>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auto"/>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color w:val="auto"/>
                <w:lang w:val="en-US" w:eastAsia="zh-CN"/>
              </w:rPr>
              <w:t>生产工艺流程：原材料采购- 安装容器阀- 试压- 充气- 检验- 组装- 测试- 包装出货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充气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关键过程确认表，生产监控记录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充气，对工艺、设备、人员、</w:t>
            </w:r>
            <w:r>
              <w:rPr>
                <w:rFonts w:hint="eastAsia" w:ascii="宋体" w:hAnsi="宋体"/>
                <w:color w:val="000000"/>
                <w:sz w:val="20"/>
                <w:szCs w:val="20"/>
                <w:lang w:eastAsia="zh-CN"/>
              </w:rPr>
              <w:t>操作规程</w:t>
            </w:r>
            <w:r>
              <w:rPr>
                <w:rFonts w:hint="eastAsia" w:ascii="宋体" w:hAnsi="宋体"/>
                <w:color w:val="000000"/>
                <w:sz w:val="20"/>
                <w:szCs w:val="20"/>
                <w:lang w:val="en-US" w:eastAsia="zh-CN"/>
              </w:rPr>
              <w:t>相关的程序文件和记录进行了判定和再确认。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物流运输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签订合同协议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color w:val="000000"/>
                <w:u w:val="single"/>
              </w:rPr>
              <w:t>空气压缩机，高压清洗机，消防钢瓶翻转清洗机，七氟丙烷钢瓶干燥机，消防钢瓶阀门装卸机，，七氟丙烷药剂充装台，电动套丝机，钻铣攻丝机，台式砂轮机，管道切管机，型材切割机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widowControl/>
              <w:spacing w:before="40"/>
              <w:jc w:val="left"/>
              <w:rPr>
                <w:rFonts w:ascii="宋体"/>
                <w:color w:val="000000"/>
                <w:sz w:val="20"/>
                <w:szCs w:val="20"/>
              </w:rPr>
            </w:pPr>
            <w:r>
              <w:rPr>
                <w:rFonts w:hint="eastAsia" w:ascii="宋体"/>
                <w:color w:val="000000"/>
                <w:sz w:val="20"/>
                <w:szCs w:val="20"/>
              </w:rPr>
              <w:t>监视和测量设备（请简述主要监视和测量设备）：</w:t>
            </w:r>
            <w:r>
              <w:rPr>
                <w:rFonts w:hint="eastAsia"/>
                <w:color w:val="000000"/>
                <w:u w:val="single"/>
                <w:lang w:val="en-US" w:eastAsia="zh-CN"/>
              </w:rPr>
              <w:t>气相色谱仪</w:t>
            </w:r>
            <w:r>
              <w:rPr>
                <w:rFonts w:hint="eastAsia"/>
                <w:color w:val="000000"/>
                <w:u w:val="single"/>
              </w:rPr>
              <w:t>，</w:t>
            </w:r>
            <w:r>
              <w:rPr>
                <w:rFonts w:hint="eastAsia"/>
                <w:color w:val="000000"/>
                <w:u w:val="single"/>
                <w:lang w:val="en-US" w:eastAsia="zh-CN"/>
              </w:rPr>
              <w:t>耐压测试仪，数显千分尺</w:t>
            </w:r>
            <w:r>
              <w:rPr>
                <w:rFonts w:hint="eastAsia"/>
                <w:color w:val="000000"/>
                <w:u w:val="single"/>
              </w:rPr>
              <w:t>，</w:t>
            </w:r>
            <w:r>
              <w:rPr>
                <w:rFonts w:hint="eastAsia"/>
                <w:color w:val="000000"/>
                <w:u w:val="single"/>
                <w:lang w:val="en-US" w:eastAsia="zh-CN"/>
              </w:rPr>
              <w:t>水分含量测试仪等</w:t>
            </w:r>
            <w:r>
              <w:rPr>
                <w:color w:val="000000"/>
                <w:u w:val="single"/>
              </w:rPr>
              <w:t xml:space="preserve">  </w:t>
            </w:r>
            <w:r>
              <w:rPr>
                <w:rFonts w:hint="eastAsia"/>
                <w:color w:val="000000"/>
                <w:u w:val="single"/>
              </w:rPr>
              <w:t>；</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w:t>
            </w:r>
            <w:bookmarkStart w:id="24" w:name="_GoBack"/>
            <w:bookmarkEnd w:id="24"/>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themeColor="text1"/>
                <w:sz w:val="20"/>
                <w:szCs w:val="20"/>
              </w:rPr>
            </w:pPr>
            <w:r>
              <w:rPr>
                <w:rFonts w:hint="eastAsia" w:ascii="宋体" w:hAnsi="宋体"/>
                <w:color w:val="000000" w:themeColor="text1"/>
                <w:sz w:val="20"/>
                <w:szCs w:val="20"/>
              </w:rPr>
              <w:t>满足产品要求所需</w:t>
            </w:r>
          </w:p>
          <w:p>
            <w:pPr>
              <w:rPr>
                <w:rFonts w:ascii="宋体"/>
                <w:color w:val="000000" w:themeColor="text1"/>
                <w:sz w:val="20"/>
                <w:szCs w:val="20"/>
              </w:rPr>
            </w:pPr>
            <w:r>
              <w:rPr>
                <w:rFonts w:hint="eastAsia" w:ascii="宋体" w:hAnsi="宋体"/>
                <w:color w:val="000000" w:themeColor="text1"/>
                <w:sz w:val="20"/>
                <w:szCs w:val="20"/>
              </w:rPr>
              <w:t>工作环境</w:t>
            </w:r>
          </w:p>
        </w:tc>
        <w:tc>
          <w:tcPr>
            <w:tcW w:w="7427" w:type="dxa"/>
          </w:tcPr>
          <w:p>
            <w:pPr>
              <w:rPr>
                <w:rFonts w:hint="eastAsia" w:ascii="宋体" w:hAnsi="宋体" w:cs="Arial"/>
                <w:color w:val="000000" w:themeColor="text1"/>
                <w:szCs w:val="24"/>
                <w:lang w:eastAsia="zh-CN"/>
              </w:rPr>
            </w:pPr>
            <w:r>
              <w:rPr>
                <w:rFonts w:hint="eastAsia" w:ascii="宋体"/>
                <w:color w:val="000000" w:themeColor="text1"/>
                <w:sz w:val="20"/>
                <w:szCs w:val="20"/>
                <w:lang w:val="en-US" w:eastAsia="zh-CN"/>
              </w:rPr>
              <w:t>提供</w:t>
            </w:r>
            <w:r>
              <w:rPr>
                <w:rFonts w:hint="eastAsia" w:ascii="宋体" w:hAnsi="宋体" w:cs="Arial"/>
                <w:color w:val="000000" w:themeColor="text1"/>
                <w:szCs w:val="24"/>
              </w:rPr>
              <w:t>过程设备（硬件和软件，如电脑、打印机、监控设备等）信息和通讯技术（如信息软件、通讯设施、办公设备、网络等）</w:t>
            </w:r>
            <w:r>
              <w:rPr>
                <w:rFonts w:hint="eastAsia" w:ascii="宋体" w:hAnsi="宋体" w:cs="Arial"/>
                <w:color w:val="000000" w:themeColor="text1"/>
                <w:szCs w:val="24"/>
                <w:lang w:eastAsia="zh-CN"/>
              </w:rPr>
              <w:t>，公司考虑工作环境中必要的人性和生理因素，确保员工的职业安全、健康和心情愉快，包括：</w:t>
            </w:r>
          </w:p>
          <w:p>
            <w:pPr>
              <w:rPr>
                <w:rFonts w:hint="eastAsia" w:ascii="宋体" w:hAnsi="宋体" w:cs="Arial"/>
                <w:color w:val="000000" w:themeColor="text1"/>
                <w:szCs w:val="24"/>
                <w:lang w:eastAsia="zh-CN"/>
              </w:rPr>
            </w:pPr>
            <w:r>
              <w:rPr>
                <w:rFonts w:hint="eastAsia" w:ascii="宋体" w:hAnsi="宋体" w:cs="Arial"/>
                <w:color w:val="000000" w:themeColor="text1"/>
                <w:szCs w:val="24"/>
                <w:lang w:eastAsia="zh-CN"/>
              </w:rPr>
              <w:t>a) 社会因素（如不歧视、和谐稳定、不对抗）；</w:t>
            </w:r>
          </w:p>
          <w:p>
            <w:pPr>
              <w:rPr>
                <w:rFonts w:hint="eastAsia" w:ascii="宋体" w:hAnsi="宋体" w:cs="Arial"/>
                <w:color w:val="000000" w:themeColor="text1"/>
                <w:szCs w:val="24"/>
                <w:lang w:eastAsia="zh-CN"/>
              </w:rPr>
            </w:pPr>
            <w:r>
              <w:rPr>
                <w:rFonts w:hint="eastAsia" w:ascii="宋体" w:hAnsi="宋体" w:cs="Arial"/>
                <w:color w:val="000000" w:themeColor="text1"/>
                <w:szCs w:val="24"/>
                <w:lang w:eastAsia="zh-CN"/>
              </w:rPr>
              <w:t>b) 心理因素（如降低压力、倦怠预防、情感保护）；</w:t>
            </w:r>
          </w:p>
          <w:p>
            <w:pPr>
              <w:rPr>
                <w:rFonts w:hint="eastAsia" w:ascii="宋体" w:hAnsi="宋体" w:cs="Arial"/>
                <w:color w:val="000000" w:themeColor="text1"/>
                <w:szCs w:val="24"/>
                <w:lang w:eastAsia="zh-CN"/>
              </w:rPr>
            </w:pPr>
            <w:r>
              <w:rPr>
                <w:rFonts w:hint="eastAsia" w:ascii="宋体" w:hAnsi="宋体" w:cs="Arial"/>
                <w:color w:val="000000" w:themeColor="text1"/>
                <w:szCs w:val="24"/>
                <w:lang w:eastAsia="zh-CN"/>
              </w:rPr>
              <w:t>c) 物理因素（温度、热度、湿度、照明、空气流通、卫生、噪音）</w:t>
            </w:r>
          </w:p>
          <w:p>
            <w:pPr>
              <w:rPr>
                <w:rFonts w:hint="eastAsia" w:ascii="宋体" w:hAnsi="宋体" w:cs="Arial"/>
                <w:color w:val="000000" w:themeColor="text1"/>
                <w:szCs w:val="24"/>
                <w:lang w:eastAsia="zh-CN"/>
              </w:rPr>
            </w:pPr>
            <w:r>
              <w:rPr>
                <w:rFonts w:hint="eastAsia" w:ascii="宋体" w:hAnsi="宋体" w:cs="Arial"/>
                <w:color w:val="000000" w:themeColor="text1"/>
                <w:szCs w:val="24"/>
                <w:lang w:eastAsia="zh-CN"/>
              </w:rPr>
              <w:t>以确定并管理所需的工作环境。</w:t>
            </w:r>
          </w:p>
          <w:p>
            <w:pPr>
              <w:rPr>
                <w:rFonts w:hint="eastAsia" w:ascii="宋体" w:eastAsia="宋体"/>
                <w:color w:val="000000" w:themeColor="text1"/>
                <w:sz w:val="20"/>
                <w:szCs w:val="20"/>
                <w:lang w:val="en-US" w:eastAsia="zh-CN"/>
              </w:rPr>
            </w:pPr>
            <w:r>
              <w:rPr>
                <w:rFonts w:hint="eastAsia" w:ascii="宋体" w:eastAsia="宋体"/>
                <w:color w:val="000000" w:themeColor="text1"/>
                <w:sz w:val="20"/>
                <w:szCs w:val="20"/>
                <w:lang w:val="en-US" w:eastAsia="zh-CN"/>
              </w:rPr>
              <w:t>各作业场所的工作环境应保持整齐、卫生、安全。必要时应包括：</w:t>
            </w:r>
          </w:p>
          <w:p>
            <w:pPr>
              <w:rPr>
                <w:rFonts w:hint="eastAsia" w:ascii="宋体" w:eastAsia="宋体"/>
                <w:color w:val="000000" w:themeColor="text1"/>
                <w:sz w:val="20"/>
                <w:szCs w:val="20"/>
                <w:lang w:val="en-US" w:eastAsia="zh-CN"/>
              </w:rPr>
            </w:pPr>
            <w:r>
              <w:rPr>
                <w:rFonts w:hint="eastAsia" w:ascii="宋体" w:eastAsia="宋体"/>
                <w:color w:val="000000" w:themeColor="text1"/>
                <w:sz w:val="20"/>
                <w:szCs w:val="20"/>
                <w:lang w:val="en-US" w:eastAsia="zh-CN"/>
              </w:rPr>
              <w:t>a)配置适宜的办公场所，并根据生产需要进行适当的装修；</w:t>
            </w:r>
          </w:p>
          <w:p>
            <w:pPr>
              <w:rPr>
                <w:rFonts w:hint="eastAsia" w:ascii="宋体" w:eastAsia="宋体"/>
                <w:color w:val="000000" w:themeColor="text1"/>
                <w:sz w:val="20"/>
                <w:szCs w:val="20"/>
                <w:lang w:val="en-US" w:eastAsia="zh-CN"/>
              </w:rPr>
            </w:pPr>
            <w:r>
              <w:rPr>
                <w:rFonts w:hint="eastAsia" w:ascii="宋体" w:eastAsia="宋体"/>
                <w:color w:val="000000" w:themeColor="text1"/>
                <w:sz w:val="20"/>
                <w:szCs w:val="20"/>
                <w:lang w:val="en-US" w:eastAsia="zh-CN"/>
              </w:rPr>
              <w:t>b)配置必要的消防器材，保持适宜的温度，综合部应卫生、安全。</w:t>
            </w:r>
          </w:p>
          <w:p>
            <w:pPr>
              <w:rPr>
                <w:rFonts w:ascii="宋体"/>
                <w:color w:val="000000" w:themeColor="text1"/>
                <w:sz w:val="20"/>
                <w:szCs w:val="20"/>
              </w:rPr>
            </w:pPr>
            <w:r>
              <w:rPr>
                <w:rFonts w:hint="eastAsia" w:ascii="宋体" w:eastAsia="宋体"/>
                <w:color w:val="000000" w:themeColor="text1"/>
                <w:sz w:val="20"/>
                <w:szCs w:val="20"/>
                <w:lang w:val="en-US" w:eastAsia="zh-CN"/>
              </w:rPr>
              <w:t>c)发挥员工的积极性和创造性，创造团结协作、共同进取的良好工作环境。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21</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auto"/>
                <w:kern w:val="0"/>
              </w:rPr>
              <w:t>公司于20</w:t>
            </w:r>
            <w:r>
              <w:rPr>
                <w:rFonts w:hint="eastAsia" w:ascii="宋体" w:hAnsi="宋体"/>
                <w:color w:val="auto"/>
                <w:kern w:val="0"/>
                <w:lang w:val="en-US" w:eastAsia="zh-CN"/>
              </w:rPr>
              <w:t>19</w:t>
            </w:r>
            <w:r>
              <w:rPr>
                <w:rFonts w:hint="eastAsia" w:ascii="宋体" w:hAnsi="宋体"/>
                <w:color w:val="auto"/>
                <w:kern w:val="0"/>
              </w:rPr>
              <w:t>.</w:t>
            </w:r>
            <w:r>
              <w:rPr>
                <w:rFonts w:hint="eastAsia" w:ascii="宋体" w:hAnsi="宋体"/>
                <w:color w:val="auto"/>
                <w:kern w:val="0"/>
                <w:lang w:val="en-US" w:eastAsia="zh-CN"/>
              </w:rPr>
              <w:t>12</w:t>
            </w:r>
            <w:r>
              <w:rPr>
                <w:rFonts w:hint="eastAsia" w:ascii="宋体" w:hAnsi="宋体"/>
                <w:color w:val="auto"/>
                <w:kern w:val="0"/>
              </w:rPr>
              <w:t>.</w:t>
            </w:r>
            <w:r>
              <w:rPr>
                <w:rFonts w:hint="eastAsia" w:ascii="宋体" w:hAnsi="宋体"/>
                <w:color w:val="auto"/>
                <w:kern w:val="0"/>
                <w:lang w:val="en-US" w:eastAsia="zh-CN"/>
              </w:rPr>
              <w:t>10</w:t>
            </w:r>
            <w:r>
              <w:rPr>
                <w:rFonts w:hint="eastAsia" w:ascii="宋体" w:hAnsi="宋体"/>
                <w:color w:val="auto"/>
                <w:kern w:val="0"/>
              </w:rPr>
              <w:t>进行一次内审，提供了内审计划、内审记录、不符合报告、内审报告等，发现了QMS：不符合项</w:t>
            </w:r>
            <w:r>
              <w:rPr>
                <w:rFonts w:hint="eastAsia" w:ascii="宋体" w:hAnsi="宋体"/>
                <w:color w:val="auto"/>
                <w:kern w:val="0"/>
                <w:lang w:val="en-US" w:eastAsia="zh-CN"/>
              </w:rPr>
              <w:t>1</w:t>
            </w:r>
            <w:r>
              <w:rPr>
                <w:rFonts w:hint="eastAsia" w:ascii="宋体" w:hAnsi="宋体"/>
                <w:color w:val="auto"/>
                <w:kern w:val="0"/>
              </w:rPr>
              <w:t>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olor w:val="auto"/>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ascii="宋体" w:hAnsi="宋体"/>
                <w:b/>
                <w:color w:val="auto"/>
                <w:sz w:val="20"/>
                <w:szCs w:val="20"/>
              </w:rPr>
              <w:t xml:space="preserve"> </w:t>
            </w:r>
            <w:r>
              <w:rPr>
                <w:rFonts w:hint="eastAsia" w:ascii="宋体" w:hAnsi="宋体"/>
                <w:color w:val="auto"/>
                <w:kern w:val="0"/>
              </w:rPr>
              <w:t>20</w:t>
            </w:r>
            <w:r>
              <w:rPr>
                <w:rFonts w:hint="eastAsia" w:ascii="宋体" w:hAnsi="宋体"/>
                <w:color w:val="auto"/>
                <w:kern w:val="0"/>
                <w:lang w:val="en-US" w:eastAsia="zh-CN"/>
              </w:rPr>
              <w:t>20</w:t>
            </w:r>
            <w:r>
              <w:rPr>
                <w:rFonts w:hint="eastAsia" w:ascii="宋体" w:hAnsi="宋体"/>
                <w:color w:val="auto"/>
                <w:kern w:val="0"/>
              </w:rPr>
              <w:t>.</w:t>
            </w:r>
            <w:r>
              <w:rPr>
                <w:rFonts w:hint="eastAsia" w:ascii="宋体" w:hAnsi="宋体"/>
                <w:color w:val="auto"/>
                <w:kern w:val="0"/>
                <w:lang w:val="en-US" w:eastAsia="zh-CN"/>
              </w:rPr>
              <w:t>1</w:t>
            </w:r>
            <w:r>
              <w:rPr>
                <w:rFonts w:hint="eastAsia" w:ascii="宋体" w:hAnsi="宋体"/>
                <w:color w:val="auto"/>
                <w:kern w:val="0"/>
              </w:rPr>
              <w:t>.</w:t>
            </w:r>
            <w:r>
              <w:rPr>
                <w:rFonts w:hint="eastAsia" w:ascii="宋体" w:hAnsi="宋体"/>
                <w:color w:val="auto"/>
                <w:kern w:val="0"/>
                <w:lang w:val="en-US" w:eastAsia="zh-CN"/>
              </w:rPr>
              <w:t>15</w:t>
            </w:r>
            <w:r>
              <w:rPr>
                <w:rFonts w:hint="eastAsia" w:ascii="宋体" w:hAnsi="宋体"/>
                <w:color w:val="auto"/>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rPr>
              <w:t>管理评审结论：公司各部门基本按照管理体系标准要求实施已初步取得良好的效果。公司方针、目标、管理体系文件、质量控制等符合公司目前发展状况，所配备的各类资源基本满足管理体系要求。公司质量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基本符合要求</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color w:val="000000"/>
          <w:szCs w:val="21"/>
          <w:u w:val="single"/>
        </w:rPr>
        <w:t>资质范围内灭火设备的生产</w:t>
      </w:r>
      <w:r>
        <w:rPr>
          <w:rFonts w:hint="eastAsia" w:ascii="宋体" w:hAnsi="宋体"/>
          <w:b/>
          <w:color w:val="000000"/>
          <w:sz w:val="20"/>
          <w:szCs w:val="20"/>
          <w:u w:val="single"/>
        </w:rPr>
        <w:t>）</w:t>
      </w:r>
      <w:r>
        <w:rPr>
          <w:rFonts w:ascii="宋体" w:hAnsi="宋体"/>
          <w:b/>
          <w:color w:val="000000"/>
          <w:sz w:val="20"/>
          <w:szCs w:val="20"/>
        </w:rPr>
        <w:t>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-191770</wp:posOffset>
            </wp:positionV>
            <wp:extent cx="514350" cy="371475"/>
            <wp:effectExtent l="0" t="0" r="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2020-05-17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远程审核</w:t>
      </w:r>
      <w:r>
        <w:rPr>
          <w:rFonts w:hint="eastAsia" w:ascii="宋体" w:hAnsi="宋体"/>
          <w:b/>
          <w:color w:val="000000"/>
          <w:sz w:val="20"/>
          <w:szCs w:val="20"/>
        </w:rPr>
        <w:t>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远程审核</w:t>
      </w:r>
      <w:r>
        <w:rPr>
          <w:rFonts w:hint="eastAsia" w:eastAsia="隶书"/>
          <w:color w:val="000000"/>
          <w:sz w:val="32"/>
          <w:szCs w:val="32"/>
        </w:rPr>
        <w:t>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1</w:t>
            </w:r>
          </w:p>
        </w:tc>
        <w:tc>
          <w:tcPr>
            <w:tcW w:w="5681" w:type="dxa"/>
            <w:vAlign w:val="top"/>
          </w:tcPr>
          <w:p>
            <w:pPr>
              <w:spacing w:before="40" w:after="40"/>
              <w:rPr>
                <w:color w:val="000000"/>
                <w:sz w:val="24"/>
                <w:szCs w:val="24"/>
              </w:rPr>
            </w:pPr>
            <w:r>
              <w:rPr>
                <w:rFonts w:hint="eastAsia" w:ascii="宋体" w:hAnsi="宋体"/>
                <w:sz w:val="21"/>
                <w:lang w:val="en-US" w:eastAsia="zh-CN"/>
              </w:rPr>
              <w:t>《受控文件清单》中受控文件编号与实际文件编号不一致</w:t>
            </w:r>
          </w:p>
        </w:tc>
        <w:tc>
          <w:tcPr>
            <w:tcW w:w="1688" w:type="dxa"/>
            <w:vAlign w:val="top"/>
          </w:tcPr>
          <w:p>
            <w:pPr>
              <w:spacing w:before="40" w:after="40"/>
              <w:rPr>
                <w:rFonts w:hint="eastAsia" w:ascii="宋体" w:hAnsi="宋体"/>
                <w:sz w:val="21"/>
              </w:rPr>
            </w:pPr>
          </w:p>
          <w:p>
            <w:pPr>
              <w:spacing w:before="40" w:after="40"/>
              <w:rPr>
                <w:rFonts w:hint="default" w:ascii="宋体" w:hAnsi="宋体" w:eastAsia="宋体"/>
                <w:sz w:val="21"/>
                <w:lang w:val="en-US" w:eastAsia="zh-CN"/>
              </w:rPr>
            </w:pPr>
            <w:r>
              <w:rPr>
                <w:rFonts w:hint="eastAsia" w:ascii="宋体" w:hAnsi="宋体"/>
                <w:sz w:val="21"/>
                <w:lang w:val="en-US" w:eastAsia="zh-CN"/>
              </w:rPr>
              <w:t>Q7.5</w:t>
            </w:r>
          </w:p>
          <w:p>
            <w:pPr>
              <w:spacing w:before="40" w:after="40"/>
              <w:rPr>
                <w:rFonts w:hint="eastAsia" w:ascii="宋体" w:hAnsi="宋体"/>
                <w:sz w:val="21"/>
              </w:rPr>
            </w:pPr>
          </w:p>
          <w:p>
            <w:pPr>
              <w:spacing w:before="40" w:after="40"/>
              <w:rPr>
                <w:rFonts w:hint="eastAsia" w:ascii="宋体" w:hAnsi="宋体"/>
                <w:sz w:val="21"/>
              </w:rPr>
            </w:pPr>
          </w:p>
          <w:p>
            <w:pPr>
              <w:spacing w:before="40" w:after="40"/>
              <w:rPr>
                <w:rFonts w:hint="eastAsia" w:ascii="宋体" w:hAnsi="宋体"/>
                <w:sz w:val="21"/>
              </w:rPr>
            </w:pPr>
          </w:p>
          <w:p>
            <w:pPr>
              <w:spacing w:before="40" w:after="40"/>
              <w:rPr>
                <w:color w:val="000000"/>
                <w:sz w:val="32"/>
                <w:szCs w:val="32"/>
              </w:rPr>
            </w:pPr>
          </w:p>
        </w:tc>
        <w:tc>
          <w:tcPr>
            <w:tcW w:w="1811" w:type="dxa"/>
            <w:vAlign w:val="top"/>
          </w:tcPr>
          <w:p>
            <w:pPr>
              <w:spacing w:before="40" w:after="40"/>
              <w:rPr>
                <w:rFonts w:hint="eastAsia"/>
                <w:sz w:val="21"/>
              </w:rPr>
            </w:pPr>
          </w:p>
          <w:p>
            <w:pPr>
              <w:spacing w:before="40" w:after="40"/>
              <w:rPr>
                <w:rFonts w:hint="eastAsia"/>
                <w:sz w:val="21"/>
              </w:rPr>
            </w:pPr>
          </w:p>
          <w:p>
            <w:pPr>
              <w:spacing w:before="40" w:after="40"/>
              <w:rPr>
                <w:rFonts w:hint="default" w:eastAsia="宋体"/>
                <w:sz w:val="21"/>
                <w:lang w:val="en-US" w:eastAsia="zh-CN"/>
              </w:rPr>
            </w:pPr>
            <w:r>
              <w:rPr>
                <w:rFonts w:hint="eastAsia"/>
                <w:sz w:val="21"/>
                <w:lang w:val="en-US" w:eastAsia="zh-CN"/>
              </w:rPr>
              <w:t>与实际情况不符</w:t>
            </w:r>
          </w:p>
          <w:p>
            <w:pPr>
              <w:spacing w:before="40" w:after="40"/>
              <w:rPr>
                <w:rFonts w:hint="eastAsia"/>
                <w:sz w:val="21"/>
              </w:rPr>
            </w:pPr>
          </w:p>
          <w:p>
            <w:pPr>
              <w:spacing w:before="40" w:after="40"/>
              <w:rPr>
                <w:rFonts w:hint="eastAsia"/>
                <w:sz w:val="21"/>
              </w:rPr>
            </w:pPr>
          </w:p>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2</w:t>
            </w:r>
          </w:p>
        </w:tc>
        <w:tc>
          <w:tcPr>
            <w:tcW w:w="5681" w:type="dxa"/>
            <w:vAlign w:val="top"/>
          </w:tcPr>
          <w:p>
            <w:pPr>
              <w:spacing w:before="40" w:after="40"/>
              <w:rPr>
                <w:color w:val="000000"/>
                <w:sz w:val="24"/>
                <w:szCs w:val="24"/>
              </w:rPr>
            </w:pPr>
            <w:r>
              <w:rPr>
                <w:rFonts w:hint="eastAsia" w:ascii="宋体" w:hAnsi="宋体"/>
                <w:sz w:val="21"/>
                <w:lang w:eastAsia="zh-CN"/>
              </w:rPr>
              <w:t>《</w:t>
            </w:r>
            <w:r>
              <w:rPr>
                <w:rFonts w:hint="eastAsia" w:ascii="宋体" w:hAnsi="宋体"/>
                <w:sz w:val="21"/>
              </w:rPr>
              <w:t>岗位能力要求</w:t>
            </w:r>
            <w:r>
              <w:rPr>
                <w:rFonts w:hint="eastAsia" w:ascii="宋体" w:hAnsi="宋体"/>
                <w:sz w:val="21"/>
                <w:lang w:eastAsia="zh-CN"/>
              </w:rPr>
              <w:t>》</w:t>
            </w:r>
            <w:r>
              <w:rPr>
                <w:rFonts w:hint="eastAsia" w:ascii="宋体" w:hAnsi="宋体"/>
                <w:sz w:val="21"/>
                <w:lang w:val="en-US" w:eastAsia="zh-CN"/>
              </w:rPr>
              <w:t>与质量管理手册0.8描述不一致</w:t>
            </w:r>
          </w:p>
        </w:tc>
        <w:tc>
          <w:tcPr>
            <w:tcW w:w="1688" w:type="dxa"/>
            <w:vAlign w:val="top"/>
          </w:tcPr>
          <w:p>
            <w:pPr>
              <w:spacing w:before="40" w:after="40"/>
              <w:rPr>
                <w:rFonts w:hint="eastAsia" w:ascii="宋体" w:hAnsi="宋体"/>
                <w:sz w:val="21"/>
              </w:rPr>
            </w:pPr>
          </w:p>
          <w:p>
            <w:pPr>
              <w:spacing w:before="40" w:after="40"/>
              <w:rPr>
                <w:rFonts w:hint="default" w:ascii="宋体" w:hAnsi="宋体" w:eastAsia="宋体"/>
                <w:sz w:val="21"/>
                <w:lang w:val="en-US" w:eastAsia="zh-CN"/>
              </w:rPr>
            </w:pPr>
            <w:r>
              <w:rPr>
                <w:rFonts w:hint="eastAsia" w:ascii="宋体" w:hAnsi="宋体"/>
                <w:sz w:val="21"/>
                <w:lang w:val="en-US" w:eastAsia="zh-CN"/>
              </w:rPr>
              <w:t>Q7.5</w:t>
            </w:r>
          </w:p>
          <w:p>
            <w:pPr>
              <w:spacing w:before="40" w:after="40"/>
              <w:rPr>
                <w:rFonts w:hint="eastAsia" w:ascii="宋体" w:hAnsi="宋体"/>
                <w:sz w:val="21"/>
              </w:rPr>
            </w:pPr>
          </w:p>
          <w:p>
            <w:pPr>
              <w:spacing w:before="40" w:after="40"/>
              <w:rPr>
                <w:rFonts w:hint="eastAsia" w:ascii="宋体" w:hAnsi="宋体"/>
                <w:sz w:val="21"/>
              </w:rPr>
            </w:pPr>
          </w:p>
          <w:p>
            <w:pPr>
              <w:spacing w:before="40" w:after="40"/>
              <w:rPr>
                <w:rFonts w:hint="eastAsia" w:ascii="宋体" w:hAnsi="宋体"/>
                <w:sz w:val="21"/>
              </w:rPr>
            </w:pPr>
          </w:p>
          <w:p>
            <w:pPr>
              <w:spacing w:before="40" w:after="40"/>
              <w:rPr>
                <w:color w:val="000000"/>
                <w:sz w:val="32"/>
                <w:szCs w:val="32"/>
              </w:rPr>
            </w:pPr>
          </w:p>
        </w:tc>
        <w:tc>
          <w:tcPr>
            <w:tcW w:w="1811" w:type="dxa"/>
            <w:vAlign w:val="top"/>
          </w:tcPr>
          <w:p>
            <w:pPr>
              <w:spacing w:before="40" w:after="40"/>
              <w:rPr>
                <w:rFonts w:hint="eastAsia"/>
                <w:sz w:val="21"/>
              </w:rPr>
            </w:pPr>
          </w:p>
          <w:p>
            <w:pPr>
              <w:spacing w:before="40" w:after="40"/>
              <w:rPr>
                <w:rFonts w:hint="eastAsia"/>
                <w:sz w:val="21"/>
              </w:rPr>
            </w:pPr>
          </w:p>
          <w:p>
            <w:pPr>
              <w:spacing w:before="40" w:after="40"/>
              <w:rPr>
                <w:rFonts w:hint="default" w:eastAsia="宋体"/>
                <w:sz w:val="21"/>
                <w:lang w:val="en-US" w:eastAsia="zh-CN"/>
              </w:rPr>
            </w:pPr>
            <w:r>
              <w:rPr>
                <w:rFonts w:hint="eastAsia"/>
                <w:sz w:val="21"/>
                <w:lang w:val="en-US" w:eastAsia="zh-CN"/>
              </w:rPr>
              <w:t>与实际情况不符</w:t>
            </w:r>
          </w:p>
          <w:p>
            <w:pPr>
              <w:spacing w:before="40" w:after="40"/>
              <w:rPr>
                <w:rFonts w:hint="eastAsia"/>
                <w:sz w:val="21"/>
              </w:rPr>
            </w:pPr>
          </w:p>
          <w:p>
            <w:pPr>
              <w:spacing w:before="40" w:after="40"/>
              <w:rPr>
                <w:rFonts w:hint="eastAsia"/>
                <w:sz w:val="21"/>
              </w:rPr>
            </w:pPr>
          </w:p>
          <w:p>
            <w:pPr>
              <w:spacing w:before="40" w:after="40"/>
              <w:rPr>
                <w:rFonts w:hint="eastAsia"/>
                <w:sz w:val="21"/>
              </w:rPr>
            </w:pPr>
          </w:p>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w:t>
            </w:r>
            <w:r>
              <w:rPr>
                <w:rFonts w:hint="eastAsia"/>
                <w:b/>
                <w:color w:val="000000"/>
                <w:spacing w:val="-10"/>
                <w:szCs w:val="21"/>
                <w:lang w:eastAsia="zh-CN"/>
              </w:rPr>
              <w:t>远程审核</w:t>
            </w:r>
            <w:r>
              <w:rPr>
                <w:rFonts w:hint="eastAsia"/>
                <w:b/>
                <w:color w:val="000000"/>
                <w:spacing w:val="-10"/>
                <w:szCs w:val="21"/>
              </w:rPr>
              <w:t>前不需提交书面材料的整改项（第项，共项）</w:t>
            </w:r>
          </w:p>
          <w:p>
            <w:pPr>
              <w:spacing w:line="280" w:lineRule="exact"/>
              <w:rPr>
                <w:rFonts w:hint="eastAsia"/>
                <w:b/>
                <w:color w:val="000000"/>
                <w:spacing w:val="-10"/>
                <w:szCs w:val="21"/>
              </w:rPr>
            </w:pP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721995</wp:posOffset>
                  </wp:positionH>
                  <wp:positionV relativeFrom="paragraph">
                    <wp:posOffset>23495</wp:posOffset>
                  </wp:positionV>
                  <wp:extent cx="514350" cy="371475"/>
                  <wp:effectExtent l="0" t="0" r="0" b="9525"/>
                  <wp:wrapSquare wrapText="bothSides"/>
                  <wp:docPr id="5"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spacing w:line="280" w:lineRule="exact"/>
              <w:rPr>
                <w:rFonts w:hint="eastAsia"/>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05</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default" w:eastAsia="宋体"/>
                <w:sz w:val="21"/>
                <w:szCs w:val="21"/>
                <w:lang w:val="en-US" w:eastAsia="zh-CN"/>
              </w:rPr>
              <w:drawing>
                <wp:anchor distT="0" distB="0" distL="114300" distR="114300" simplePos="0" relativeHeight="251671552" behindDoc="0" locked="0" layoutInCell="1" allowOverlap="1">
                  <wp:simplePos x="0" y="0"/>
                  <wp:positionH relativeFrom="column">
                    <wp:posOffset>726440</wp:posOffset>
                  </wp:positionH>
                  <wp:positionV relativeFrom="paragraph">
                    <wp:posOffset>59055</wp:posOffset>
                  </wp:positionV>
                  <wp:extent cx="514350" cy="371475"/>
                  <wp:effectExtent l="0" t="0" r="0" b="9525"/>
                  <wp:wrapSquare wrapText="bothSides"/>
                  <wp:docPr id="6"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05</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CA67A8"/>
    <w:rsid w:val="717873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2020-05-24T15:56:30Z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