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西安洛科电子科技股份有限公司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强兴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24001-2016idtISO 14001:2015</w:t>
      </w:r>
      <w:bookmarkEnd w:id="4"/>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西安洛科电子科技股份有限公司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ind w:firstLine="602" w:firstLineChars="300"/>
              <w:jc w:val="both"/>
              <w:rPr>
                <w:rFonts w:ascii="宋体" w:hAnsi="宋体"/>
                <w:b/>
                <w:color w:val="000000" w:themeColor="text1"/>
                <w:sz w:val="20"/>
                <w:szCs w:val="20"/>
              </w:rPr>
            </w:pPr>
            <w:bookmarkStart w:id="7" w:name="注册地址"/>
            <w:r>
              <w:rPr>
                <w:rFonts w:ascii="宋体" w:hAnsi="宋体"/>
                <w:b/>
                <w:color w:val="000000" w:themeColor="text1"/>
                <w:sz w:val="20"/>
                <w:szCs w:val="20"/>
              </w:rPr>
              <w:t>西安市莲湖区劳动路118号316房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710054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602" w:firstLineChars="300"/>
              <w:rPr>
                <w:rFonts w:ascii="宋体" w:hAnsi="宋体"/>
                <w:b/>
                <w:color w:val="000000" w:themeColor="text1"/>
                <w:sz w:val="20"/>
                <w:szCs w:val="20"/>
              </w:rPr>
            </w:pPr>
            <w:bookmarkStart w:id="9" w:name="办公地址"/>
            <w:r>
              <w:rPr>
                <w:rFonts w:ascii="宋体" w:hAnsi="宋体"/>
                <w:b/>
                <w:color w:val="000000" w:themeColor="text1"/>
                <w:sz w:val="20"/>
                <w:szCs w:val="20"/>
              </w:rPr>
              <w:t>西安市高新区锦业路69号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710054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李希孝</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13759985988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李希孝</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兰孟平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b/>
                <w:color w:val="000000" w:themeColor="text1"/>
                <w:sz w:val="20"/>
                <w:szCs w:val="20"/>
                <w:u w:val="single"/>
              </w:rPr>
            </w:pPr>
          </w:p>
          <w:p>
            <w:pPr>
              <w:spacing w:line="320" w:lineRule="exact"/>
              <w:rPr>
                <w:rFonts w:ascii="宋体" w:hAnsi="宋体"/>
                <w:b/>
                <w:color w:val="000000" w:themeColor="text1"/>
                <w:sz w:val="20"/>
                <w:szCs w:val="20"/>
                <w:u w:val="single"/>
              </w:rPr>
            </w:pPr>
            <w:r>
              <w:rPr>
                <w:rFonts w:hint="eastAsia" w:ascii="宋体" w:hAnsi="宋体"/>
                <w:b/>
                <w:color w:val="000000" w:themeColor="text1"/>
                <w:sz w:val="20"/>
                <w:szCs w:val="20"/>
                <w:u w:val="single"/>
              </w:rPr>
              <w:t>石油仪器仪表及配件的组装生产及销售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19.05.01</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2019-10-05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ind w:firstLine="201" w:firstLineChars="100"/>
              <w:jc w:val="left"/>
              <w:rPr>
                <w:rFonts w:ascii="宋体" w:hAnsi="宋体"/>
                <w:b/>
                <w:color w:val="000000" w:themeColor="text1"/>
                <w:spacing w:val="-20"/>
                <w:sz w:val="20"/>
                <w:szCs w:val="20"/>
              </w:rPr>
            </w:pPr>
            <w:r>
              <w:rPr>
                <w:rFonts w:ascii="宋体" w:hAnsi="宋体"/>
                <w:b/>
                <w:color w:val="000000" w:themeColor="text1"/>
                <w:sz w:val="20"/>
                <w:szCs w:val="20"/>
              </w:rPr>
              <w:t>西安市高新区锦业路69号</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组织环境</w:t>
            </w:r>
            <w:r>
              <w:rPr>
                <w:rFonts w:hint="eastAsia" w:ascii="宋体" w:hAnsi="宋体"/>
                <w:color w:val="000000" w:themeColor="text1"/>
                <w:szCs w:val="21"/>
              </w:rPr>
              <w:t>、</w:t>
            </w:r>
            <w:r>
              <w:rPr>
                <w:rFonts w:ascii="宋体" w:hAnsi="宋体"/>
                <w:color w:val="000000" w:themeColor="text1"/>
                <w:szCs w:val="21"/>
              </w:rPr>
              <w:t>风险和机遇</w:t>
            </w:r>
            <w:r>
              <w:rPr>
                <w:rFonts w:hint="eastAsia" w:ascii="宋体" w:hAnsi="宋体"/>
                <w:color w:val="000000" w:themeColor="text1"/>
                <w:szCs w:val="21"/>
              </w:rPr>
              <w:t>、</w:t>
            </w:r>
            <w:r>
              <w:rPr>
                <w:rFonts w:ascii="宋体" w:hAnsi="宋体"/>
                <w:color w:val="000000" w:themeColor="text1"/>
                <w:szCs w:val="21"/>
              </w:rPr>
              <w:t>领导作用</w:t>
            </w:r>
            <w:r>
              <w:rPr>
                <w:rFonts w:hint="eastAsia" w:ascii="宋体" w:hAnsi="宋体"/>
                <w:color w:val="000000" w:themeColor="text1"/>
                <w:szCs w:val="21"/>
              </w:rPr>
              <w:t>、</w:t>
            </w:r>
            <w:r>
              <w:rPr>
                <w:rFonts w:ascii="宋体" w:hAnsi="宋体"/>
                <w:color w:val="000000" w:themeColor="text1"/>
                <w:szCs w:val="21"/>
              </w:rPr>
              <w:t>管理评审</w:t>
            </w:r>
            <w:r>
              <w:rPr>
                <w:rFonts w:hint="eastAsia" w:ascii="宋体" w:hAnsi="宋体"/>
                <w:color w:val="000000" w:themeColor="text1"/>
                <w:szCs w:val="21"/>
              </w:rPr>
              <w:t>、</w:t>
            </w:r>
            <w:r>
              <w:rPr>
                <w:rFonts w:ascii="宋体" w:hAnsi="宋体"/>
                <w:color w:val="000000" w:themeColor="text1"/>
                <w:szCs w:val="21"/>
              </w:rPr>
              <w:t>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综合管理部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文件</w:t>
            </w:r>
            <w:r>
              <w:rPr>
                <w:rFonts w:hint="eastAsia" w:ascii="宋体" w:hAnsi="宋体"/>
                <w:color w:val="000000" w:themeColor="text1"/>
                <w:szCs w:val="21"/>
              </w:rPr>
              <w:t>、</w:t>
            </w:r>
            <w:r>
              <w:rPr>
                <w:rFonts w:ascii="宋体" w:hAnsi="宋体"/>
                <w:color w:val="000000" w:themeColor="text1"/>
                <w:szCs w:val="21"/>
              </w:rPr>
              <w:t>记录</w:t>
            </w:r>
            <w:r>
              <w:rPr>
                <w:rFonts w:hint="eastAsia" w:ascii="宋体" w:hAnsi="宋体"/>
                <w:color w:val="000000" w:themeColor="text1"/>
                <w:szCs w:val="21"/>
              </w:rPr>
              <w:t>、</w:t>
            </w:r>
            <w:r>
              <w:rPr>
                <w:rFonts w:ascii="宋体" w:hAnsi="宋体"/>
                <w:color w:val="000000" w:themeColor="text1"/>
                <w:szCs w:val="21"/>
              </w:rPr>
              <w:t>培训</w:t>
            </w:r>
            <w:r>
              <w:rPr>
                <w:rFonts w:hint="eastAsia" w:ascii="宋体" w:hAnsi="宋体"/>
                <w:color w:val="000000" w:themeColor="text1"/>
                <w:szCs w:val="21"/>
              </w:rPr>
              <w:t>、</w:t>
            </w:r>
            <w:r>
              <w:rPr>
                <w:rFonts w:ascii="宋体" w:hAnsi="宋体"/>
                <w:color w:val="000000" w:themeColor="text1"/>
                <w:szCs w:val="21"/>
              </w:rPr>
              <w:t>内审</w:t>
            </w:r>
            <w:r>
              <w:rPr>
                <w:rFonts w:hint="eastAsia" w:ascii="宋体" w:hAnsi="宋体"/>
                <w:color w:val="000000" w:themeColor="text1"/>
                <w:szCs w:val="21"/>
              </w:rPr>
              <w:t>、</w:t>
            </w:r>
            <w:r>
              <w:rPr>
                <w:rFonts w:ascii="宋体" w:hAnsi="宋体"/>
                <w:color w:val="000000" w:themeColor="text1"/>
                <w:szCs w:val="21"/>
              </w:rPr>
              <w:t>法律法规</w:t>
            </w:r>
            <w:r>
              <w:rPr>
                <w:rFonts w:hint="eastAsia" w:ascii="宋体" w:hAnsi="宋体"/>
                <w:color w:val="000000" w:themeColor="text1"/>
                <w:szCs w:val="21"/>
              </w:rPr>
              <w:t>、</w:t>
            </w:r>
            <w:r>
              <w:rPr>
                <w:rFonts w:ascii="宋体" w:hAnsi="宋体"/>
                <w:color w:val="000000" w:themeColor="text1"/>
                <w:szCs w:val="21"/>
              </w:rPr>
              <w:t>合规性评价</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rPr>
              <w:t>、</w:t>
            </w:r>
            <w:r>
              <w:rPr>
                <w:rFonts w:ascii="宋体" w:hAnsi="宋体"/>
                <w:color w:val="000000" w:themeColor="text1"/>
                <w:szCs w:val="21"/>
              </w:rPr>
              <w:t>应急演练</w:t>
            </w:r>
            <w:r>
              <w:rPr>
                <w:rFonts w:hint="eastAsia" w:ascii="宋体" w:hAnsi="宋体"/>
                <w:color w:val="000000" w:themeColor="text1"/>
                <w:szCs w:val="21"/>
                <w:lang w:eastAsia="zh-CN"/>
              </w:rPr>
              <w:t>、</w:t>
            </w:r>
            <w:r>
              <w:rPr>
                <w:rFonts w:ascii="宋体" w:hAnsi="宋体"/>
                <w:color w:val="000000" w:themeColor="text1"/>
                <w:szCs w:val="21"/>
              </w:rPr>
              <w:t>采购过销售过程</w:t>
            </w:r>
            <w:r>
              <w:rPr>
                <w:rFonts w:hint="eastAsia" w:ascii="宋体" w:hAnsi="宋体"/>
                <w:color w:val="000000" w:themeColor="text1"/>
                <w:szCs w:val="21"/>
              </w:rPr>
              <w:t>、</w:t>
            </w:r>
            <w:r>
              <w:rPr>
                <w:rFonts w:ascii="宋体" w:hAnsi="宋体"/>
                <w:color w:val="000000" w:themeColor="text1"/>
                <w:szCs w:val="21"/>
              </w:rPr>
              <w:t>产品标识与防护</w:t>
            </w:r>
            <w:r>
              <w:rPr>
                <w:rFonts w:hint="eastAsia" w:ascii="宋体" w:hAnsi="宋体"/>
                <w:color w:val="000000" w:themeColor="text1"/>
                <w:szCs w:val="21"/>
              </w:rPr>
              <w:t>、</w:t>
            </w:r>
            <w:r>
              <w:rPr>
                <w:rFonts w:ascii="宋体" w:hAnsi="宋体"/>
                <w:color w:val="000000" w:themeColor="text1"/>
                <w:szCs w:val="21"/>
              </w:rPr>
              <w:t>顾客满意度</w:t>
            </w:r>
            <w:r>
              <w:rPr>
                <w:rFonts w:hint="eastAsia" w:ascii="宋体" w:hAnsi="宋体"/>
                <w:color w:val="000000" w:themeColor="text1"/>
                <w:szCs w:val="21"/>
              </w:rPr>
              <w:t>、</w:t>
            </w:r>
            <w:r>
              <w:rPr>
                <w:rFonts w:ascii="宋体" w:hAnsi="宋体"/>
                <w:color w:val="000000" w:themeColor="text1"/>
                <w:szCs w:val="21"/>
              </w:rPr>
              <w:t>相关方施加影响</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lang w:eastAsia="zh-CN"/>
              </w:rPr>
              <w:t>、</w:t>
            </w:r>
            <w:r>
              <w:rPr>
                <w:rFonts w:hint="eastAsia" w:ascii="宋体" w:hAnsi="宋体"/>
                <w:color w:val="000000" w:themeColor="text1"/>
                <w:szCs w:val="21"/>
              </w:rPr>
              <w:t>公司环境管理体系的运行提供财务</w:t>
            </w:r>
            <w:r>
              <w:rPr>
                <w:rFonts w:ascii="宋体" w:hAnsi="宋体"/>
                <w:color w:val="000000" w:themeColor="text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产品检验</w:t>
            </w:r>
            <w:r>
              <w:rPr>
                <w:rFonts w:hint="eastAsia" w:ascii="宋体" w:hAnsi="宋体"/>
                <w:color w:val="000000" w:themeColor="text1"/>
                <w:szCs w:val="21"/>
              </w:rPr>
              <w:t>、</w:t>
            </w:r>
            <w:r>
              <w:rPr>
                <w:rFonts w:ascii="宋体" w:hAnsi="宋体"/>
                <w:color w:val="000000" w:themeColor="text1"/>
                <w:szCs w:val="21"/>
              </w:rPr>
              <w:t>不合格品控制</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lang w:eastAsia="zh-CN"/>
              </w:rPr>
              <w:t>、</w:t>
            </w:r>
            <w:r>
              <w:rPr>
                <w:rFonts w:hint="eastAsia" w:ascii="宋体" w:hAnsi="宋体"/>
                <w:color w:val="000000" w:themeColor="text1"/>
                <w:szCs w:val="21"/>
              </w:rPr>
              <w:t>环境因素识别评价和运行控制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ind w:firstLine="1054" w:firstLineChars="500"/>
              <w:rPr>
                <w:rFonts w:ascii="宋体" w:hAnsi="宋体" w:eastAsia="宋体" w:cs="Times New Roman"/>
                <w:b/>
                <w:color w:val="000000" w:themeColor="text1"/>
                <w:kern w:val="2"/>
                <w:sz w:val="21"/>
                <w:szCs w:val="21"/>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1"/>
                <w:szCs w:val="21"/>
                <w:u w:val="single"/>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xml:space="preserve">☑体系运行开始的 </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u w:val="single"/>
        </w:rPr>
        <w:t xml:space="preserve">  </w:t>
      </w:r>
      <w:r>
        <w:rPr>
          <w:rFonts w:hint="eastAsia"/>
          <w:b/>
          <w:color w:val="000000" w:themeColor="text1"/>
          <w:spacing w:val="-10"/>
          <w:szCs w:val="21"/>
        </w:rPr>
        <w:t>月</w:t>
      </w:r>
      <w:bookmarkStart w:id="19"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16</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210" w:firstLineChars="100"/>
              <w:rPr>
                <w:b/>
                <w:color w:val="000000" w:themeColor="text1"/>
                <w:sz w:val="20"/>
                <w:szCs w:val="20"/>
              </w:rPr>
            </w:pPr>
            <w:r>
              <w:rPr>
                <w:rFonts w:hint="eastAsia"/>
                <w:u w:val="single"/>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360" w:lineRule="auto"/>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spacing w:line="240" w:lineRule="exact"/>
              <w:rPr>
                <w:rFonts w:hint="eastAsia" w:ascii="Times New Roman" w:hAnsi="Times New Roman" w:cs="Times New Roman"/>
                <w:u w:val="single"/>
              </w:rPr>
            </w:pPr>
            <w:r>
              <w:rPr>
                <w:rFonts w:hint="eastAsia" w:ascii="Times New Roman" w:hAnsi="Times New Roman" w:cs="Times New Roman"/>
                <w:u w:val="single"/>
              </w:rPr>
              <w:t>提供了相关方需求和期望一览表，调查分析基本齐全，确定了优先考虑的顺序。</w:t>
            </w:r>
          </w:p>
          <w:p>
            <w:pPr>
              <w:spacing w:line="240" w:lineRule="exact"/>
              <w:rPr>
                <w:b/>
                <w:color w:val="000000" w:themeColor="text1"/>
                <w:sz w:val="20"/>
                <w:szCs w:val="20"/>
              </w:rPr>
            </w:pPr>
            <w:r>
              <w:rPr>
                <w:rFonts w:hint="eastAsia" w:ascii="Times New Roman" w:hAnsi="Times New Roman" w:cs="Times New Roman"/>
                <w:u w:val="single"/>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rFonts w:hint="eastAsia" w:ascii="宋体" w:hAnsi="宋体" w:cs="Times New Roman"/>
                <w:szCs w:val="21"/>
                <w:u w:val="single"/>
              </w:rPr>
            </w:pPr>
            <w:r>
              <w:rPr>
                <w:rFonts w:hint="eastAsia" w:ascii="宋体" w:hAnsi="宋体" w:cs="Times New Roman"/>
                <w:szCs w:val="21"/>
                <w:u w:val="single"/>
              </w:rPr>
              <w:t>公司方针是：</w:t>
            </w:r>
          </w:p>
          <w:p>
            <w:pPr>
              <w:spacing w:line="360" w:lineRule="auto"/>
              <w:ind w:firstLine="420" w:firstLineChars="200"/>
              <w:rPr>
                <w:rFonts w:hint="eastAsia" w:ascii="宋体" w:hAnsi="宋体" w:cs="Times New Roman"/>
                <w:szCs w:val="21"/>
                <w:u w:val="single"/>
              </w:rPr>
            </w:pPr>
            <w:r>
              <w:rPr>
                <w:rFonts w:hint="eastAsia" w:ascii="宋体" w:hAnsi="宋体" w:cs="Times New Roman"/>
                <w:szCs w:val="21"/>
                <w:u w:val="single"/>
              </w:rPr>
              <w:t xml:space="preserve">节约资源  保护环境  遵纪守法  持续改进 </w:t>
            </w:r>
          </w:p>
          <w:p>
            <w:pPr>
              <w:spacing w:line="360" w:lineRule="auto"/>
              <w:ind w:firstLine="420" w:firstLineChars="200"/>
              <w:rPr>
                <w:rFonts w:hint="eastAsia" w:ascii="宋体" w:hAnsi="宋体" w:cs="Times New Roman"/>
                <w:szCs w:val="21"/>
                <w:u w:val="single"/>
              </w:rPr>
            </w:pPr>
            <w:r>
              <w:rPr>
                <w:rFonts w:hint="eastAsia" w:ascii="宋体" w:hAnsi="宋体" w:cs="Times New Roman"/>
                <w:szCs w:val="21"/>
                <w:u w:val="single"/>
              </w:rPr>
              <w:t>管理方针在内部适当的沟通，管理评审时进行了评审，方针适宜。</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tabs>
                <w:tab w:val="left" w:pos="2552"/>
              </w:tabs>
              <w:spacing w:line="360" w:lineRule="exact"/>
              <w:ind w:firstLine="420" w:firstLineChars="200"/>
              <w:rPr>
                <w:rFonts w:ascii="宋体" w:hAnsi="宋体"/>
                <w:szCs w:val="21"/>
                <w:u w:val="single"/>
              </w:rPr>
            </w:pPr>
            <w:r>
              <w:rPr>
                <w:rFonts w:hint="eastAsia" w:ascii="宋体" w:hAnsi="宋体"/>
                <w:szCs w:val="21"/>
                <w:u w:val="single"/>
              </w:rPr>
              <w:t>识别了办公、生产</w:t>
            </w:r>
            <w:r>
              <w:rPr>
                <w:rFonts w:hint="eastAsia" w:ascii="宋体" w:hAnsi="宋体"/>
                <w:szCs w:val="21"/>
                <w:u w:val="single"/>
                <w:lang w:eastAsia="zh-CN"/>
              </w:rPr>
              <w:t>、</w:t>
            </w:r>
            <w:r>
              <w:rPr>
                <w:rFonts w:hint="eastAsia" w:ascii="宋体" w:hAnsi="宋体"/>
                <w:szCs w:val="21"/>
                <w:u w:val="single"/>
              </w:rPr>
              <w:t>质检、销售等过程的环境因素，动态更新，评价出的重要环境因素包括：办公及生活垃圾等固体废物的排放；火灾事故的发生等。</w:t>
            </w:r>
          </w:p>
          <w:p>
            <w:pPr>
              <w:tabs>
                <w:tab w:val="left" w:pos="2552"/>
              </w:tabs>
              <w:spacing w:line="360" w:lineRule="exact"/>
              <w:ind w:firstLine="420" w:firstLineChars="200"/>
              <w:rPr>
                <w:rFonts w:ascii="宋体" w:hAnsi="宋体"/>
                <w:szCs w:val="21"/>
                <w:u w:val="single"/>
              </w:rPr>
            </w:pPr>
            <w:r>
              <w:rPr>
                <w:rFonts w:hint="eastAsia" w:ascii="宋体" w:hAnsi="宋体"/>
                <w:szCs w:val="21"/>
                <w:u w:val="single"/>
              </w:rPr>
              <w:t>在生产</w:t>
            </w:r>
            <w:r>
              <w:rPr>
                <w:rFonts w:hint="eastAsia" w:ascii="宋体" w:hAnsi="宋体"/>
                <w:szCs w:val="21"/>
                <w:u w:val="single"/>
                <w:lang w:eastAsia="zh-CN"/>
              </w:rPr>
              <w:t>、</w:t>
            </w:r>
            <w:r>
              <w:rPr>
                <w:rFonts w:hint="eastAsia" w:ascii="宋体" w:hAnsi="宋体"/>
                <w:szCs w:val="21"/>
                <w:u w:val="single"/>
              </w:rPr>
              <w:t>采购、销售、质检、仓储、运输、交付、日常办公等过程能使用生命周期观点和方法识别环境因素并加以管理。</w:t>
            </w:r>
          </w:p>
          <w:p>
            <w:pPr>
              <w:tabs>
                <w:tab w:val="left" w:pos="2552"/>
              </w:tabs>
              <w:spacing w:line="360" w:lineRule="exact"/>
              <w:ind w:firstLine="420" w:firstLineChars="200"/>
              <w:rPr>
                <w:rFonts w:ascii="宋体" w:hAnsi="宋体"/>
                <w:szCs w:val="21"/>
                <w:u w:val="single"/>
              </w:rPr>
            </w:pPr>
            <w:r>
              <w:rPr>
                <w:rFonts w:hint="eastAsia" w:ascii="宋体" w:hAnsi="宋体"/>
                <w:szCs w:val="21"/>
                <w:u w:val="single"/>
              </w:rPr>
              <w:t>公司通过制定目标、管理方案、应急预案、日常检查与控制等方法，对环境因素进行控制，同时针对重要环境因素、风险和机遇及环境目标，制定了措施方案。</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auto"/>
              <w:rPr>
                <w:rFonts w:hint="eastAsia" w:ascii="宋体" w:hAnsi="宋体" w:eastAsia="宋体" w:cs="Times New Roman"/>
                <w:u w:val="single"/>
              </w:rPr>
            </w:pPr>
            <w:r>
              <w:rPr>
                <w:rFonts w:hint="eastAsia" w:ascii="宋体" w:hAnsi="宋体" w:eastAsia="宋体" w:cs="Times New Roman"/>
                <w:u w:val="single"/>
              </w:rPr>
              <w:t>公司环境目标：</w:t>
            </w:r>
          </w:p>
          <w:p>
            <w:pPr>
              <w:spacing w:line="240" w:lineRule="auto"/>
              <w:rPr>
                <w:rFonts w:hint="eastAsia" w:ascii="宋体" w:hAnsi="宋体" w:eastAsia="宋体" w:cs="Times New Roman"/>
                <w:u w:val="single"/>
              </w:rPr>
            </w:pPr>
            <w:r>
              <w:rPr>
                <w:rFonts w:hint="eastAsia" w:ascii="宋体" w:hAnsi="宋体" w:eastAsia="宋体" w:cs="Times New Roman"/>
                <w:u w:val="single"/>
              </w:rPr>
              <w:t>a）无重大环境污染事故；</w:t>
            </w:r>
          </w:p>
          <w:p>
            <w:pPr>
              <w:spacing w:line="240" w:lineRule="auto"/>
              <w:rPr>
                <w:rFonts w:hint="eastAsia" w:ascii="宋体" w:hAnsi="宋体" w:eastAsia="宋体" w:cs="Times New Roman"/>
                <w:u w:val="single"/>
              </w:rPr>
            </w:pPr>
            <w:r>
              <w:rPr>
                <w:rFonts w:hint="eastAsia" w:ascii="宋体" w:hAnsi="宋体" w:eastAsia="宋体" w:cs="Times New Roman"/>
                <w:u w:val="single"/>
              </w:rPr>
              <w:t>b）火灾事故为零；</w:t>
            </w:r>
          </w:p>
          <w:p>
            <w:pPr>
              <w:spacing w:line="240" w:lineRule="auto"/>
              <w:rPr>
                <w:rFonts w:hint="eastAsia" w:ascii="宋体" w:hAnsi="宋体" w:eastAsia="宋体" w:cs="Times New Roman"/>
                <w:u w:val="single"/>
              </w:rPr>
            </w:pPr>
            <w:r>
              <w:rPr>
                <w:rFonts w:hint="eastAsia" w:ascii="宋体" w:hAnsi="宋体" w:eastAsia="宋体" w:cs="Times New Roman"/>
                <w:u w:val="single"/>
              </w:rPr>
              <w:t>c）环境影响投诉次数为零；</w:t>
            </w:r>
          </w:p>
          <w:p>
            <w:pPr>
              <w:spacing w:line="240" w:lineRule="auto"/>
              <w:rPr>
                <w:rFonts w:ascii="宋体" w:hAnsi="宋体"/>
                <w:b/>
                <w:color w:val="000000" w:themeColor="text1"/>
              </w:rPr>
            </w:pPr>
            <w:r>
              <w:rPr>
                <w:rFonts w:hint="eastAsia" w:ascii="宋体" w:hAnsi="宋体" w:eastAsia="宋体" w:cs="Times New Roman"/>
                <w:u w:val="single"/>
              </w:rPr>
              <w:t>d）废弃物的分类处理率为100%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u w:val="single"/>
              </w:rPr>
            </w:pPr>
          </w:p>
          <w:p>
            <w:pPr>
              <w:tabs>
                <w:tab w:val="left" w:pos="540"/>
              </w:tabs>
              <w:spacing w:line="240" w:lineRule="exact"/>
              <w:ind w:firstLine="210" w:firstLineChars="100"/>
              <w:rPr>
                <w:rFonts w:ascii="宋体" w:hAnsi="宋体"/>
                <w:b/>
                <w:color w:val="000000" w:themeColor="text1"/>
                <w:sz w:val="20"/>
                <w:szCs w:val="20"/>
              </w:rPr>
            </w:pPr>
            <w:r>
              <w:rPr>
                <w:rFonts w:ascii="宋体" w:hAnsi="宋体"/>
                <w:u w:val="single"/>
              </w:rPr>
              <w:t>体系文件符合公司要求</w:t>
            </w:r>
            <w:r>
              <w:rPr>
                <w:rFonts w:hint="eastAsia" w:ascii="宋体" w:hAnsi="宋体"/>
                <w:u w:val="single"/>
              </w:rPr>
              <w:t>，</w:t>
            </w:r>
            <w:r>
              <w:rPr>
                <w:rFonts w:ascii="宋体" w:hAnsi="宋体"/>
                <w:u w:val="single"/>
              </w:rPr>
              <w:t>文件和记录管理控制符合标准要求</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60" w:lineRule="auto"/>
              <w:ind w:firstLine="420" w:firstLineChars="200"/>
              <w:rPr>
                <w:rFonts w:hint="default" w:ascii="宋体" w:hAnsi="宋体" w:cs="Times New Roman"/>
                <w:u w:val="single"/>
                <w:lang w:val="en-US" w:eastAsia="zh-CN"/>
              </w:rPr>
            </w:pPr>
            <w:r>
              <w:rPr>
                <w:rFonts w:hint="eastAsia" w:ascii="宋体" w:hAnsi="宋体" w:cs="Times New Roman"/>
                <w:u w:val="single"/>
                <w:lang w:val="en-US" w:eastAsia="zh-CN"/>
              </w:rPr>
              <w:t>2019年按</w:t>
            </w:r>
            <w:r>
              <w:rPr>
                <w:rFonts w:hint="eastAsia" w:ascii="宋体" w:hAnsi="宋体" w:cs="Times New Roman"/>
                <w:u w:val="single"/>
              </w:rPr>
              <w:t>人力资源管理程序，制定培训计划，</w:t>
            </w:r>
            <w:r>
              <w:rPr>
                <w:rFonts w:hint="eastAsia" w:ascii="宋体" w:hAnsi="宋体" w:cs="Times New Roman"/>
                <w:u w:val="single"/>
                <w:lang w:val="en-US" w:eastAsia="zh-CN"/>
              </w:rPr>
              <w:t>按计划完成了相关培训，并有有效评价。但2020年培训计划要求，2020年1月需要进行设备管理培训，但未能提供相关培训的依据，不符合文件和标准要求（开具了不符合项）。</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ascii="楷体" w:hAnsi="楷体" w:eastAsia="楷体" w:cs="楷体"/>
                <w:sz w:val="24"/>
                <w:szCs w:val="24"/>
                <w:lang w:val="en-US" w:eastAsia="zh-CN"/>
              </w:rPr>
              <w:t xml:space="preserve">高低温箱、压力试验台、装配工作台、示波器、卡尺、千分尺、万用表电脑、打印机、网络、电话等设施设备，有生产和办公场所能满足要求；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ascii="宋体" w:hAnsi="宋体"/>
                <w:b/>
                <w:color w:val="000000" w:themeColor="text1"/>
                <w:sz w:val="20"/>
                <w:szCs w:val="20"/>
              </w:rPr>
            </w:pPr>
            <w:r>
              <w:rPr>
                <w:rFonts w:hint="eastAsia" w:ascii="宋体" w:hAnsi="宋体" w:cs="Times New Roman"/>
                <w:szCs w:val="21"/>
                <w:u w:val="single"/>
              </w:rPr>
              <w:t>产品生产销售对环境没有特殊要求，生产销售服务和办公环境干净、整洁</w:t>
            </w:r>
            <w:r>
              <w:rPr>
                <w:rFonts w:hint="eastAsia" w:ascii="宋体" w:hAnsi="宋体" w:cs="Times New Roman"/>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u w:val="single"/>
              </w:rPr>
            </w:pPr>
            <w:r>
              <w:rPr>
                <w:rFonts w:hint="eastAsia" w:ascii="宋体" w:hAnsi="宋体"/>
                <w:b/>
                <w:color w:val="000000" w:themeColor="text1"/>
                <w:sz w:val="20"/>
                <w:szCs w:val="20"/>
              </w:rPr>
              <w:t>监视</w:t>
            </w:r>
            <w:r>
              <w:rPr>
                <w:rFonts w:hint="eastAsia"/>
                <w:u w:val="single"/>
              </w:rPr>
              <w:t>无需环保和职业健康安全监视和测量资源。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ascii="宋体" w:hAnsi="宋体"/>
                <w:b/>
                <w:color w:val="000000" w:themeColor="text1"/>
                <w:sz w:val="20"/>
                <w:szCs w:val="20"/>
              </w:rPr>
            </w:pPr>
            <w:r>
              <w:rPr>
                <w:rFonts w:hint="eastAsia"/>
                <w:u w:val="single"/>
              </w:rPr>
              <w:t>企业运行过程所需的知识从内部来源获取的有：公司生产和管理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eastAsia="zh-CN"/>
              </w:rPr>
            </w:pPr>
            <w:r>
              <w:rPr>
                <w:rFonts w:hint="eastAsia"/>
                <w:u w:val="single"/>
              </w:rPr>
              <w:t>分类垃圾桶</w:t>
            </w:r>
            <w:r>
              <w:rPr>
                <w:rFonts w:hint="eastAsia"/>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Theme="minorEastAsia" w:hAnsiTheme="minorEastAsia" w:eastAsiaTheme="minorEastAsia"/>
                <w:szCs w:val="22"/>
                <w:u w:val="single"/>
              </w:rPr>
              <w:t>根据组织宗旨制定了管理体系方针，进行了有效沟通，在管理评审时进行评审，</w:t>
            </w:r>
            <w:r>
              <w:rPr>
                <w:rFonts w:asciiTheme="minorEastAsia" w:hAnsiTheme="minorEastAsia" w:eastAsiaTheme="minorEastAsia"/>
                <w:szCs w:val="22"/>
                <w:u w:val="single"/>
              </w:rPr>
              <w:t>符合要求</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Theme="minorEastAsia" w:hAnsiTheme="minorEastAsia" w:eastAsiaTheme="minorEastAsia"/>
                <w:szCs w:val="22"/>
                <w:u w:val="single"/>
              </w:rPr>
              <w:t>培训、会议、宣传栏；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heme="minorEastAsia" w:hAnsiTheme="minorEastAsia" w:eastAsiaTheme="minorEastAsia"/>
                <w:szCs w:val="22"/>
                <w:u w:val="single"/>
              </w:rPr>
              <w:t>沟通畅通；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Theme="minorEastAsia" w:hAnsiTheme="minorEastAsia" w:eastAsiaTheme="minorEastAsia"/>
                <w:szCs w:val="22"/>
                <w:u w:val="single"/>
              </w:rPr>
            </w:pPr>
            <w:r>
              <w:rPr>
                <w:rFonts w:hint="eastAsia" w:ascii="楷体_GB2312" w:eastAsia="楷体_GB2312"/>
                <w:b/>
                <w:color w:val="000000" w:themeColor="text1"/>
                <w:sz w:val="20"/>
                <w:szCs w:val="20"/>
              </w:rPr>
              <w:t>外部信息的接收、成文并答复的情况（E、S填写）：</w:t>
            </w:r>
            <w:r>
              <w:rPr>
                <w:rFonts w:hint="eastAsia" w:asciiTheme="minorEastAsia" w:hAnsiTheme="minorEastAsia" w:eastAsiaTheme="minorEastAsia"/>
                <w:szCs w:val="22"/>
                <w:u w:val="single"/>
              </w:rPr>
              <w:t>参加相关部门组织的会议，接收相关部门下达的通知并在公司内部沟通传达。</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heme="minorEastAsia" w:hAnsiTheme="minorEastAsia" w:eastAsiaTheme="minorEastAsia"/>
                <w:szCs w:val="22"/>
                <w:u w:val="single"/>
              </w:rPr>
              <w:t>对相关方进行环保告知。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spacing w:line="360" w:lineRule="auto"/>
              <w:ind w:firstLine="421"/>
              <w:jc w:val="both"/>
            </w:pPr>
            <w:r>
              <w:rPr>
                <w:rFonts w:hint="eastAsia"/>
              </w:rPr>
              <w:t>1、废水管控：</w:t>
            </w:r>
          </w:p>
          <w:p>
            <w:pPr>
              <w:spacing w:line="360" w:lineRule="auto"/>
              <w:ind w:firstLine="421"/>
              <w:jc w:val="both"/>
              <w:rPr>
                <w:rFonts w:hint="eastAsia"/>
              </w:rPr>
            </w:pPr>
            <w:r>
              <w:rPr>
                <w:rFonts w:hint="eastAsia"/>
                <w:lang w:val="en-US" w:eastAsia="zh-CN"/>
              </w:rPr>
              <w:t>产品组装</w:t>
            </w:r>
            <w:r>
              <w:rPr>
                <w:rFonts w:hint="eastAsia"/>
              </w:rPr>
              <w:t>过程不产生废水，生活废水经化粪池简单处理后排入政府管网集中处理。</w:t>
            </w:r>
          </w:p>
          <w:p>
            <w:pPr>
              <w:spacing w:line="360" w:lineRule="auto"/>
              <w:ind w:firstLine="421"/>
              <w:jc w:val="both"/>
            </w:pPr>
            <w:r>
              <w:rPr>
                <w:rFonts w:hint="eastAsia"/>
              </w:rPr>
              <w:t>2、废气管控：</w:t>
            </w:r>
          </w:p>
          <w:p>
            <w:pPr>
              <w:spacing w:line="360" w:lineRule="auto"/>
              <w:ind w:firstLine="421"/>
              <w:jc w:val="both"/>
              <w:rPr>
                <w:rFonts w:hint="default"/>
                <w:lang w:val="en-US" w:eastAsia="zh-CN"/>
              </w:rPr>
            </w:pPr>
            <w:r>
              <w:rPr>
                <w:rFonts w:hint="eastAsia"/>
                <w:lang w:val="en-US" w:eastAsia="zh-CN"/>
              </w:rPr>
              <w:t>产品组装过程无废气排放</w:t>
            </w:r>
          </w:p>
          <w:p>
            <w:pPr>
              <w:spacing w:line="360" w:lineRule="auto"/>
              <w:ind w:firstLine="421"/>
              <w:jc w:val="both"/>
            </w:pPr>
            <w:r>
              <w:rPr>
                <w:rFonts w:hint="eastAsia"/>
              </w:rPr>
              <w:t>3、噪声管控：</w:t>
            </w:r>
          </w:p>
          <w:p>
            <w:pPr>
              <w:spacing w:line="360" w:lineRule="auto"/>
              <w:ind w:firstLine="421"/>
              <w:jc w:val="both"/>
            </w:pPr>
            <w:r>
              <w:rPr>
                <w:rFonts w:hint="eastAsia"/>
                <w:lang w:val="en-US" w:eastAsia="zh-CN"/>
              </w:rPr>
              <w:t>产品装配、试验</w:t>
            </w:r>
            <w:r>
              <w:rPr>
                <w:rFonts w:hint="eastAsia"/>
              </w:rPr>
              <w:t>过程基本无噪声。</w:t>
            </w:r>
          </w:p>
          <w:p>
            <w:pPr>
              <w:spacing w:line="360" w:lineRule="auto"/>
              <w:ind w:firstLine="421"/>
              <w:jc w:val="both"/>
            </w:pPr>
            <w:r>
              <w:rPr>
                <w:rFonts w:hint="eastAsia"/>
              </w:rPr>
              <w:t>4、固废管控：</w:t>
            </w:r>
          </w:p>
          <w:p>
            <w:pPr>
              <w:spacing w:line="360" w:lineRule="auto"/>
              <w:ind w:firstLine="421"/>
              <w:jc w:val="both"/>
              <w:rPr>
                <w:rFonts w:hint="eastAsia"/>
                <w:lang w:val="en-US" w:eastAsia="zh-CN"/>
              </w:rPr>
            </w:pPr>
            <w:r>
              <w:rPr>
                <w:rFonts w:hint="eastAsia"/>
              </w:rPr>
              <w:t>生</w:t>
            </w:r>
            <w:r>
              <w:rPr>
                <w:rFonts w:hint="eastAsia"/>
                <w:lang w:val="en-US" w:eastAsia="zh-CN"/>
              </w:rPr>
              <w:t>产过程中主要为下料和及机加工过程产生废品、废包装物、废手套等废弃物放置在废品库，积攒一定量后出售有处理能力的单位回收再利用，无危险废物。</w:t>
            </w:r>
          </w:p>
          <w:p>
            <w:pPr>
              <w:spacing w:line="360" w:lineRule="auto"/>
              <w:ind w:firstLine="421"/>
              <w:jc w:val="both"/>
              <w:rPr>
                <w:rFonts w:hint="eastAsia"/>
              </w:rPr>
            </w:pPr>
            <w:r>
              <w:rPr>
                <w:rFonts w:hint="eastAsia"/>
                <w:lang w:val="en-US" w:eastAsia="zh-CN"/>
              </w:rPr>
              <w:t>库房，产品、半成品分类管理标志明显。建立了</w:t>
            </w:r>
            <w:r>
              <w:rPr>
                <w:rFonts w:hint="eastAsia"/>
              </w:rPr>
              <w:t>管理制度</w:t>
            </w:r>
            <w:r>
              <w:rPr>
                <w:rFonts w:hint="eastAsia"/>
                <w:lang w:eastAsia="zh-CN"/>
              </w:rPr>
              <w:t>，</w:t>
            </w:r>
            <w:r>
              <w:rPr>
                <w:rFonts w:hint="eastAsia"/>
              </w:rPr>
              <w:t>符合环保标准。</w:t>
            </w:r>
          </w:p>
          <w:p>
            <w:pPr>
              <w:numPr>
                <w:ilvl w:val="0"/>
                <w:numId w:val="0"/>
              </w:numPr>
              <w:spacing w:line="360" w:lineRule="auto"/>
              <w:ind w:firstLine="210" w:firstLineChars="100"/>
              <w:jc w:val="both"/>
            </w:pPr>
            <w:r>
              <w:rPr>
                <w:rFonts w:hint="eastAsia"/>
                <w:lang w:val="en-US" w:eastAsia="zh-CN"/>
              </w:rPr>
              <w:t>5</w:t>
            </w:r>
            <w:r>
              <w:rPr>
                <w:rFonts w:hint="eastAsia"/>
              </w:rPr>
              <w:t>能源资源管控：</w:t>
            </w:r>
          </w:p>
          <w:p>
            <w:pPr>
              <w:spacing w:line="360" w:lineRule="auto"/>
              <w:ind w:firstLine="420" w:firstLineChars="200"/>
            </w:pPr>
            <w:r>
              <w:rPr>
                <w:rFonts w:hint="eastAsia"/>
              </w:rPr>
              <w:t>生产过程注意节水、节电、人走关闭设备和照明开关，现场未发现有漏水和浪费电能的现象。</w:t>
            </w:r>
          </w:p>
          <w:p>
            <w:pPr>
              <w:spacing w:line="360" w:lineRule="auto"/>
              <w:ind w:firstLine="421"/>
            </w:pPr>
            <w:r>
              <w:rPr>
                <w:rFonts w:hint="eastAsia"/>
              </w:rPr>
              <w:t>6、产品生命周期的环境管控：</w:t>
            </w:r>
          </w:p>
          <w:p>
            <w:pPr>
              <w:spacing w:line="360" w:lineRule="auto"/>
              <w:ind w:firstLine="421"/>
            </w:pPr>
            <w:r>
              <w:rPr>
                <w:rFonts w:hint="eastAsia"/>
              </w:rPr>
              <w:t>公司从工艺设计和采购产品时已考虑了产品的环保性（包括原材料），生产过程中，严格按照环保等管理制度实施，控制好辅助材料的用量，避免浪费，生命周期终了时</w:t>
            </w:r>
            <w:r>
              <w:rPr>
                <w:rFonts w:hint="eastAsia"/>
                <w:lang w:val="en-US" w:eastAsia="zh-CN"/>
              </w:rPr>
              <w:t>壳体钢材</w:t>
            </w:r>
            <w:r>
              <w:rPr>
                <w:rFonts w:hint="eastAsia"/>
              </w:rPr>
              <w:t>还可以回收再利用。</w:t>
            </w:r>
          </w:p>
          <w:p>
            <w:pPr>
              <w:spacing w:line="360" w:lineRule="auto"/>
              <w:ind w:firstLine="421"/>
            </w:pPr>
            <w:r>
              <w:rPr>
                <w:rFonts w:hint="eastAsia"/>
              </w:rPr>
              <w:t>7、潜在火灾管控：</w:t>
            </w:r>
          </w:p>
          <w:p>
            <w:pPr>
              <w:spacing w:line="360" w:lineRule="auto"/>
              <w:ind w:firstLine="421"/>
            </w:pPr>
            <w:r>
              <w:rPr>
                <w:rFonts w:hint="eastAsia"/>
              </w:rPr>
              <w:t>公司生产车间和办公区域配备了消防栓、灭火器，均符合要求。</w:t>
            </w:r>
          </w:p>
          <w:p>
            <w:pPr>
              <w:spacing w:line="360" w:lineRule="auto"/>
              <w:ind w:firstLine="421"/>
            </w:pPr>
            <w:r>
              <w:rPr>
                <w:rFonts w:hint="eastAsia"/>
              </w:rPr>
              <w:t>8、按有关程序和要求通报供方和顾客，采用〈告知函〉方式通报。查到相关方告知书。</w:t>
            </w:r>
          </w:p>
          <w:p>
            <w:pPr>
              <w:spacing w:line="240" w:lineRule="exact"/>
            </w:pPr>
          </w:p>
          <w:p>
            <w:pPr>
              <w:pStyle w:val="3"/>
              <w:ind w:left="0" w:leftChars="0" w:firstLine="0" w:firstLine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tabs>
                <w:tab w:val="left" w:pos="6597"/>
              </w:tabs>
              <w:spacing w:line="360" w:lineRule="auto"/>
              <w:ind w:firstLine="42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公司确定的紧急情况有：火灾、人身伤害等。提供了应急预案，其中包括目的、适用范围、职责、应急处理细则、演习、必备资料等，相关内容基本充分。</w:t>
            </w:r>
          </w:p>
          <w:p>
            <w:pPr>
              <w:tabs>
                <w:tab w:val="left" w:pos="6597"/>
              </w:tabs>
              <w:spacing w:line="360" w:lineRule="auto"/>
              <w:ind w:firstLine="420" w:firstLineChars="200"/>
              <w:rPr>
                <w:rFonts w:asciiTheme="minorEastAsia" w:hAnsiTheme="minorEastAsia" w:eastAsiaTheme="minorEastAsia"/>
                <w:szCs w:val="22"/>
                <w:u w:val="single"/>
              </w:rPr>
            </w:pPr>
            <w:r>
              <w:rPr>
                <w:rFonts w:hint="eastAsia" w:asciiTheme="minorEastAsia" w:hAnsiTheme="minorEastAsia" w:eastAsiaTheme="minorEastAsia"/>
                <w:szCs w:val="22"/>
                <w:u w:val="single"/>
              </w:rPr>
              <w:t>应急设施配置：在车间、仓库、办公场所内均配备了灭火器等消防设施，状态良好。</w:t>
            </w:r>
          </w:p>
          <w:p>
            <w:pPr>
              <w:spacing w:line="360" w:lineRule="auto"/>
              <w:rPr>
                <w:b/>
                <w:color w:val="000000" w:themeColor="text1"/>
                <w:spacing w:val="-4"/>
                <w:sz w:val="20"/>
                <w:szCs w:val="20"/>
              </w:rPr>
            </w:pPr>
            <w:r>
              <w:rPr>
                <w:rFonts w:hint="eastAsia" w:asciiTheme="minorEastAsia" w:hAnsiTheme="minorEastAsia" w:eastAsiaTheme="minorEastAsia"/>
                <w:szCs w:val="22"/>
                <w:u w:val="single"/>
              </w:rPr>
              <w:t>2019年11月4日</w:t>
            </w:r>
            <w:r>
              <w:rPr>
                <w:rFonts w:hint="eastAsia" w:asciiTheme="minorEastAsia" w:hAnsiTheme="minorEastAsia" w:eastAsiaTheme="minorEastAsia"/>
                <w:szCs w:val="22"/>
                <w:u w:val="single"/>
                <w:lang w:val="en-US" w:eastAsia="zh-CN"/>
              </w:rPr>
              <w:t>参加了高新园区组织的</w:t>
            </w:r>
            <w:r>
              <w:rPr>
                <w:rFonts w:hint="eastAsia" w:asciiTheme="minorEastAsia" w:hAnsiTheme="minorEastAsia" w:eastAsiaTheme="minorEastAsia"/>
                <w:szCs w:val="22"/>
                <w:u w:val="single"/>
              </w:rPr>
              <w:t>消防应急预案演练，演练后对应急预案的可操作性和充分性进行了评价。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asciiTheme="minorEastAsia" w:hAnsiTheme="minorEastAsia" w:eastAsiaTheme="minorEastAsia"/>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Arial" w:hAnsi="Arial" w:cs="Arial"/>
                <w:szCs w:val="21"/>
                <w:u w:val="single"/>
              </w:rPr>
              <w:t>定期进行环境目标完成情况的检查</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 xml:space="preserve"> </w:t>
            </w:r>
            <w:r>
              <w:rPr>
                <w:rFonts w:hint="eastAsia" w:asciiTheme="minorEastAsia" w:hAnsiTheme="minorEastAsia" w:eastAsiaTheme="minorEastAsia"/>
                <w:szCs w:val="22"/>
                <w:u w:val="single"/>
              </w:rPr>
              <w:t>每年一次，本次2019.</w:t>
            </w:r>
            <w:r>
              <w:rPr>
                <w:rFonts w:hint="eastAsia" w:asciiTheme="minorEastAsia" w:hAnsiTheme="minorEastAsia" w:eastAsiaTheme="minorEastAsia"/>
                <w:szCs w:val="22"/>
                <w:u w:val="single"/>
                <w:lang w:val="en-US" w:eastAsia="zh-CN"/>
              </w:rPr>
              <w:t>12</w:t>
            </w:r>
            <w:r>
              <w:rPr>
                <w:rFonts w:hint="eastAsia" w:asciiTheme="minorEastAsia" w:hAnsiTheme="minorEastAsia" w:eastAsiaTheme="minorEastAsia"/>
                <w:szCs w:val="22"/>
                <w:u w:val="single"/>
              </w:rPr>
              <w:t>.</w:t>
            </w:r>
            <w:r>
              <w:rPr>
                <w:rFonts w:hint="eastAsia" w:asciiTheme="minorEastAsia" w:hAnsiTheme="minorEastAsia" w:eastAsiaTheme="minorEastAsia"/>
                <w:szCs w:val="22"/>
                <w:u w:val="single"/>
                <w:lang w:val="en-US" w:eastAsia="zh-CN"/>
              </w:rPr>
              <w:t>20</w:t>
            </w:r>
            <w:r>
              <w:rPr>
                <w:rFonts w:hint="eastAsia" w:asciiTheme="minorEastAsia" w:hAnsiTheme="minorEastAsia" w:eastAsiaTheme="minorEastAsia"/>
                <w:szCs w:val="22"/>
                <w:u w:val="single"/>
              </w:rPr>
              <w:t>日内审。</w:t>
            </w:r>
          </w:p>
          <w:p>
            <w:pPr>
              <w:spacing w:line="240" w:lineRule="exact"/>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Cs w:val="22"/>
                <w:u w:val="single"/>
              </w:rPr>
            </w:pPr>
            <w:r>
              <w:rPr>
                <w:rFonts w:hint="eastAsia" w:asciiTheme="minorEastAsia" w:hAnsiTheme="minorEastAsia" w:eastAsiaTheme="minorEastAsia"/>
                <w:szCs w:val="22"/>
                <w:u w:val="single"/>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240" w:lineRule="exact"/>
              <w:rPr>
                <w:b/>
                <w:color w:val="000000" w:themeColor="text1"/>
                <w:sz w:val="20"/>
                <w:szCs w:val="20"/>
              </w:rPr>
            </w:pPr>
            <w:r>
              <w:rPr>
                <w:rFonts w:hint="eastAsia" w:ascii="宋体" w:hAnsi="宋体"/>
                <w:u w:val="single"/>
              </w:rPr>
              <w:t>公司的管理体系符合标准要求，体系运行有效</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ind w:firstLine="210" w:firstLineChars="100"/>
              <w:rPr>
                <w:b/>
                <w:color w:val="000000" w:themeColor="text1"/>
                <w:sz w:val="20"/>
                <w:szCs w:val="20"/>
              </w:rPr>
            </w:pPr>
            <w:r>
              <w:rPr>
                <w:rFonts w:hint="eastAsia" w:asciiTheme="minorEastAsia" w:hAnsiTheme="minorEastAsia" w:eastAsiaTheme="minorEastAsia"/>
                <w:szCs w:val="22"/>
                <w:u w:val="single"/>
              </w:rPr>
              <w:t>每年一次，2019.</w:t>
            </w:r>
            <w:r>
              <w:rPr>
                <w:rFonts w:hint="eastAsia" w:asciiTheme="minorEastAsia" w:hAnsiTheme="minorEastAsia" w:eastAsiaTheme="minorEastAsia"/>
                <w:szCs w:val="22"/>
                <w:u w:val="single"/>
                <w:lang w:val="en-US" w:eastAsia="zh-CN"/>
              </w:rPr>
              <w:t>12</w:t>
            </w:r>
            <w:r>
              <w:rPr>
                <w:rFonts w:hint="eastAsia" w:asciiTheme="minorEastAsia" w:hAnsiTheme="minorEastAsia" w:eastAsiaTheme="minorEastAsia"/>
                <w:szCs w:val="22"/>
                <w:u w:val="single"/>
              </w:rPr>
              <w:t>.</w:t>
            </w:r>
            <w:r>
              <w:rPr>
                <w:rFonts w:hint="eastAsia" w:asciiTheme="minorEastAsia" w:hAnsiTheme="minorEastAsia" w:eastAsiaTheme="minorEastAsia"/>
                <w:szCs w:val="22"/>
                <w:u w:val="single"/>
                <w:lang w:val="en-US" w:eastAsia="zh-CN"/>
              </w:rPr>
              <w:t>25</w:t>
            </w:r>
            <w:r>
              <w:rPr>
                <w:rFonts w:hint="eastAsia" w:asciiTheme="minorEastAsia" w:hAnsiTheme="minorEastAsia" w:eastAsiaTheme="minorEastAsia"/>
                <w:szCs w:val="22"/>
                <w:u w:val="single"/>
              </w:rPr>
              <w:t>日管理评审。</w:t>
            </w:r>
          </w:p>
          <w:p>
            <w:pPr>
              <w:spacing w:line="240" w:lineRule="exact"/>
              <w:rPr>
                <w:b/>
                <w:color w:val="000000" w:themeColor="text1"/>
                <w:sz w:val="20"/>
                <w:szCs w:val="20"/>
              </w:rPr>
            </w:pPr>
            <w:r>
              <w:rPr>
                <w:rFonts w:hint="eastAsia"/>
                <w:b/>
                <w:color w:val="000000" w:themeColor="text1"/>
                <w:sz w:val="20"/>
                <w:szCs w:val="20"/>
              </w:rPr>
              <w:t xml:space="preserve">了解管理评审输入是否充分; </w:t>
            </w:r>
          </w:p>
          <w:p>
            <w:pPr>
              <w:spacing w:line="360" w:lineRule="auto"/>
              <w:ind w:firstLine="210" w:firstLineChars="100"/>
              <w:rPr>
                <w:rFonts w:asciiTheme="minorEastAsia" w:hAnsiTheme="minorEastAsia" w:eastAsiaTheme="minorEastAsia"/>
                <w:szCs w:val="22"/>
                <w:u w:val="single"/>
              </w:rPr>
            </w:pPr>
            <w:r>
              <w:rPr>
                <w:rFonts w:hint="eastAsia" w:asciiTheme="minorEastAsia" w:hAnsiTheme="minorEastAsia" w:eastAsiaTheme="minorEastAsia"/>
                <w:szCs w:val="22"/>
                <w:u w:val="single"/>
              </w:rPr>
              <w:t>输入基本充分。</w:t>
            </w:r>
          </w:p>
          <w:p>
            <w:pPr>
              <w:spacing w:line="240" w:lineRule="exact"/>
              <w:rPr>
                <w:b/>
                <w:color w:val="000000" w:themeColor="text1"/>
                <w:sz w:val="20"/>
                <w:szCs w:val="20"/>
              </w:rPr>
            </w:pPr>
            <w:r>
              <w:rPr>
                <w:rFonts w:hint="eastAsia"/>
                <w:b/>
                <w:color w:val="000000" w:themeColor="text1"/>
                <w:sz w:val="20"/>
                <w:szCs w:val="20"/>
              </w:rPr>
              <w:t xml:space="preserve">了解管理评审结论; </w:t>
            </w:r>
          </w:p>
          <w:p>
            <w:pPr>
              <w:spacing w:line="240" w:lineRule="exact"/>
              <w:rPr>
                <w:b/>
                <w:color w:val="000000" w:themeColor="text1"/>
                <w:sz w:val="20"/>
                <w:szCs w:val="20"/>
              </w:rPr>
            </w:pPr>
            <w:r>
              <w:rPr>
                <w:rFonts w:hint="eastAsia" w:ascii="宋体" w:hAnsi="宋体"/>
                <w:u w:val="single"/>
              </w:rPr>
              <w:t>　公司的管理体系是适宜的、充分的和有效的，达到了顾客满意和持续改进的目的。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360" w:lineRule="auto"/>
              <w:rPr>
                <w:b/>
                <w:color w:val="000000" w:themeColor="text1"/>
                <w:sz w:val="20"/>
                <w:szCs w:val="20"/>
              </w:rPr>
            </w:pPr>
            <w:r>
              <w:rPr>
                <w:rFonts w:hint="eastAsia"/>
                <w:b w:val="0"/>
                <w:bCs/>
                <w:color w:val="000000" w:themeColor="text1"/>
                <w:sz w:val="20"/>
                <w:szCs w:val="20"/>
              </w:rPr>
              <w:t>提供2020年2月25日，西安洛科电子科技股份公司仪器生产组装项目建设项目环境影响登记表，内容及规模：年生产测试仪50套、智能配水器 100套、取样器30套。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asciiTheme="minorEastAsia" w:hAnsiTheme="minorEastAsia" w:eastAsiaTheme="minorEastAsia"/>
                <w:szCs w:val="22"/>
                <w:u w:val="single"/>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u w:val="single"/>
        </w:rPr>
        <w:t xml:space="preserve"> 1  </w:t>
      </w:r>
      <w:r>
        <w:rPr>
          <w:rFonts w:hint="eastAsia"/>
          <w:b/>
          <w:color w:val="000000" w:themeColor="text1"/>
        </w:rPr>
        <w:t>项；其中</w:t>
      </w:r>
      <w:r>
        <w:rPr>
          <w:b/>
          <w:color w:val="000000" w:themeColor="text1"/>
        </w:rPr>
        <w:pict>
          <v:line id="直接连接符 1" o:spid="_x0000_s1028" o:spt="20" style="position:absolute;left:0pt;margin-left:210pt;margin-top:16.2pt;height:0pt;width:0pt;z-index:2516654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w:t>
      </w:r>
      <w:r>
        <w:rPr>
          <w:rFonts w:hint="eastAsia"/>
          <w:b/>
          <w:color w:val="000000" w:themeColor="text1"/>
          <w:lang w:val="en-US" w:eastAsia="zh-CN"/>
        </w:rPr>
        <w:t>生产</w:t>
      </w:r>
      <w:r>
        <w:rPr>
          <w:rFonts w:hint="eastAsia"/>
          <w:b/>
          <w:color w:val="000000" w:themeColor="text1"/>
        </w:rPr>
        <w:t>部门条款</w:t>
      </w:r>
      <w:r>
        <w:rPr>
          <w:rFonts w:hint="eastAsia"/>
          <w:b/>
          <w:color w:val="000000" w:themeColor="text1"/>
          <w:u w:val="single"/>
        </w:rPr>
        <w:t xml:space="preserve">  </w:t>
      </w:r>
      <w:r>
        <w:rPr>
          <w:rFonts w:hint="eastAsia"/>
          <w:b/>
          <w:color w:val="000000" w:themeColor="text1"/>
          <w:u w:val="single"/>
          <w:lang w:val="en-US" w:eastAsia="zh-CN"/>
        </w:rPr>
        <w:t>7.2</w:t>
      </w:r>
      <w:r>
        <w:rPr>
          <w:rFonts w:hint="eastAsia"/>
          <w:b/>
          <w:color w:val="000000" w:themeColor="text1"/>
          <w:u w:val="single"/>
        </w:rPr>
        <w:t xml:space="preserve"> </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firstLine="420" w:firstLineChars="200"/>
              <w:rPr>
                <w:rFonts w:hint="eastAsia" w:asciiTheme="minorEastAsia" w:hAnsiTheme="minorEastAsia" w:eastAsiaTheme="minorEastAsia"/>
                <w:szCs w:val="22"/>
                <w:u w:val="single"/>
              </w:rPr>
            </w:pPr>
            <w:r>
              <w:rPr>
                <w:rFonts w:hint="eastAsia" w:asciiTheme="minorEastAsia" w:hAnsiTheme="minorEastAsia" w:eastAsiaTheme="minorEastAsia"/>
                <w:szCs w:val="22"/>
                <w:u w:val="single"/>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ascii="Times New Roman" w:hAnsi="Times New Roman" w:eastAsia="宋体" w:cs="Times New Roman"/>
          <w:b/>
          <w:color w:val="000000" w:themeColor="text1"/>
          <w:sz w:val="26"/>
          <w:szCs w:val="26"/>
        </w:rPr>
      </w:pPr>
      <w:r>
        <w:rPr>
          <w:rFonts w:hint="eastAsia"/>
          <w:b/>
          <w:color w:val="000000" w:themeColor="text1"/>
        </w:rPr>
        <w:t>一般不符合报告在天/严重不符合在天针对不符合原因制定并实施纠正措施。验证方式见不符合项报告。</w:t>
      </w:r>
    </w:p>
    <w:p>
      <w:pPr>
        <w:tabs>
          <w:tab w:val="left" w:pos="645"/>
        </w:tabs>
        <w:spacing w:line="360" w:lineRule="auto"/>
        <w:ind w:left="-850" w:leftChars="-405"/>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t>十</w:t>
      </w:r>
      <w:r>
        <w:rPr>
          <w:rFonts w:hint="eastAsia" w:ascii="Times New Roman" w:hAnsi="Times New Roman" w:eastAsia="宋体" w:cs="Times New Roman"/>
          <w:b/>
          <w:color w:val="000000" w:themeColor="text1"/>
          <w:sz w:val="26"/>
          <w:szCs w:val="26"/>
          <w:lang w:val="en-US" w:eastAsia="zh-CN"/>
        </w:rPr>
        <w:t>三、</w:t>
      </w:r>
      <w:r>
        <w:rPr>
          <w:rFonts w:hint="eastAsia" w:ascii="Times New Roman" w:hAnsi="Times New Roman" w:eastAsia="宋体" w:cs="Times New Roman"/>
          <w:b/>
          <w:color w:val="000000" w:themeColor="text1"/>
          <w:sz w:val="26"/>
          <w:szCs w:val="26"/>
        </w:rPr>
        <w:t>任何影响审核方案的重要事项：</w:t>
      </w:r>
    </w:p>
    <w:p>
      <w:pPr>
        <w:spacing w:line="360" w:lineRule="auto"/>
        <w:ind w:left="-850" w:leftChars="-405" w:firstLine="422" w:firstLineChars="200"/>
        <w:rPr>
          <w:rFonts w:hint="default" w:ascii="Times New Roman" w:hAnsi="Times New Roman" w:eastAsia="宋体" w:cs="Times New Roman"/>
          <w:b/>
          <w:color w:val="000000" w:themeColor="text1"/>
          <w:lang w:val="en-US"/>
        </w:rPr>
      </w:pPr>
      <w:r>
        <w:rPr>
          <w:rFonts w:hint="eastAsia" w:ascii="Times New Roman" w:hAnsi="Times New Roman" w:eastAsia="宋体" w:cs="Times New Roman"/>
          <w:b/>
          <w:color w:val="000000" w:themeColor="text1"/>
        </w:rPr>
        <w:t>本次现场审核为</w:t>
      </w:r>
      <w:r>
        <w:rPr>
          <w:rFonts w:hint="eastAsia" w:cs="Times New Roman"/>
          <w:b/>
          <w:color w:val="000000" w:themeColor="text1"/>
          <w:lang w:val="en-US" w:eastAsia="zh-CN"/>
        </w:rPr>
        <w:t>现场</w:t>
      </w:r>
      <w:bookmarkStart w:id="21" w:name="_GoBack"/>
      <w:bookmarkEnd w:id="21"/>
      <w:r>
        <w:rPr>
          <w:rFonts w:hint="eastAsia" w:ascii="Times New Roman" w:hAnsi="Times New Roman" w:eastAsia="宋体" w:cs="Times New Roman"/>
          <w:b/>
          <w:color w:val="000000" w:themeColor="text1"/>
        </w:rPr>
        <w:t>审核，核验</w:t>
      </w:r>
      <w:r>
        <w:rPr>
          <w:rFonts w:hint="eastAsia" w:cs="Times New Roman"/>
          <w:b/>
          <w:color w:val="000000" w:themeColor="text1"/>
          <w:lang w:val="en-US" w:eastAsia="zh-CN"/>
        </w:rPr>
        <w:t>了2020年3月16-17日远程审核的审核证据一致，不符合已经纠正。</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6432" behindDoc="0" locked="0" layoutInCell="1" allowOverlap="1">
            <wp:simplePos x="0" y="0"/>
            <wp:positionH relativeFrom="column">
              <wp:posOffset>1813560</wp:posOffset>
            </wp:positionH>
            <wp:positionV relativeFrom="paragraph">
              <wp:posOffset>317500</wp:posOffset>
            </wp:positionV>
            <wp:extent cx="382905" cy="294640"/>
            <wp:effectExtent l="0" t="0" r="10795"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82905" cy="2946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rPr>
          <w:rFonts w:hint="eastAsia" w:ascii="宋体" w:hAnsi="宋体" w:eastAsia="宋体" w:cs="Times New Roman"/>
          <w:szCs w:val="21"/>
          <w:lang w:eastAsia="zh-CN"/>
        </w:rPr>
        <w:drawing>
          <wp:anchor distT="0" distB="0" distL="114300" distR="114300" simplePos="0" relativeHeight="251683840" behindDoc="0" locked="0" layoutInCell="1" allowOverlap="1">
            <wp:simplePos x="0" y="0"/>
            <wp:positionH relativeFrom="column">
              <wp:posOffset>1967230</wp:posOffset>
            </wp:positionH>
            <wp:positionV relativeFrom="paragraph">
              <wp:posOffset>96520</wp:posOffset>
            </wp:positionV>
            <wp:extent cx="375285" cy="792480"/>
            <wp:effectExtent l="0" t="0" r="7620" b="5715"/>
            <wp:wrapNone/>
            <wp:docPr id="10"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70a62583c0d9032e3c5101938293d0"/>
                    <pic:cNvPicPr>
                      <a:picLocks noChangeAspect="1"/>
                    </pic:cNvPicPr>
                  </pic:nvPicPr>
                  <pic:blipFill>
                    <a:blip r:embed="rId7"/>
                    <a:stretch>
                      <a:fillRect/>
                    </a:stretch>
                  </pic:blipFill>
                  <pic:spPr>
                    <a:xfrm rot="16200000">
                      <a:off x="0" y="0"/>
                      <a:ext cx="375285" cy="792480"/>
                    </a:xfrm>
                    <a:prstGeom prst="rect">
                      <a:avLst/>
                    </a:prstGeom>
                  </pic:spPr>
                </pic:pic>
              </a:graphicData>
            </a:graphic>
          </wp:anchor>
        </w:drawing>
      </w:r>
      <w:r>
        <w:rPr>
          <w:rFonts w:hint="eastAsia"/>
          <w:b/>
          <w:color w:val="000000" w:themeColor="text1"/>
          <w:sz w:val="26"/>
          <w:szCs w:val="26"/>
        </w:rPr>
        <w:t>审核组组长（签名）：</w:t>
      </w:r>
    </w:p>
    <w:p>
      <w:pPr>
        <w:snapToGrid w:val="0"/>
        <w:spacing w:line="360" w:lineRule="auto"/>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月  </w:t>
      </w:r>
      <w:r>
        <w:rPr>
          <w:rFonts w:hint="eastAsia"/>
          <w:b/>
          <w:color w:val="000000" w:themeColor="text1"/>
          <w:lang w:val="en-US" w:eastAsia="zh-CN"/>
        </w:rPr>
        <w:t>16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702272" behindDoc="0" locked="0" layoutInCell="1" allowOverlap="1">
            <wp:simplePos x="0" y="0"/>
            <wp:positionH relativeFrom="column">
              <wp:posOffset>746760</wp:posOffset>
            </wp:positionH>
            <wp:positionV relativeFrom="paragraph">
              <wp:posOffset>100330</wp:posOffset>
            </wp:positionV>
            <wp:extent cx="382905" cy="294640"/>
            <wp:effectExtent l="0" t="0" r="10795" b="1016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82905" cy="29464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 xml:space="preserve">5 </w:t>
      </w:r>
      <w:r>
        <w:rPr>
          <w:rFonts w:hint="eastAsia"/>
          <w:b/>
          <w:color w:val="000000" w:themeColor="text1"/>
          <w:szCs w:val="21"/>
        </w:rPr>
        <w:t>月</w:t>
      </w:r>
      <w:r>
        <w:rPr>
          <w:rFonts w:hint="eastAsia"/>
          <w:b/>
          <w:color w:val="000000" w:themeColor="text1"/>
          <w:szCs w:val="21"/>
          <w:lang w:val="en-US" w:eastAsia="zh-CN"/>
        </w:rPr>
        <w:t xml:space="preserve"> 16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0"/>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52B20"/>
    <w:multiLevelType w:val="singleLevel"/>
    <w:tmpl w:val="ADA52B20"/>
    <w:lvl w:ilvl="0" w:tentative="0">
      <w:start w:val="5"/>
      <w:numFmt w:val="decimal"/>
      <w:suff w:val="space"/>
      <w:lvlText w:val="%1."/>
      <w:lvlJc w:val="left"/>
    </w:lvl>
  </w:abstractNum>
  <w:abstractNum w:abstractNumId="1">
    <w:nsid w:val="CD453C27"/>
    <w:multiLevelType w:val="singleLevel"/>
    <w:tmpl w:val="CD453C27"/>
    <w:lvl w:ilvl="0" w:tentative="0">
      <w:start w:val="4"/>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47D08"/>
    <w:rsid w:val="1B181A77"/>
    <w:rsid w:val="1E1F56D6"/>
    <w:rsid w:val="1E33472F"/>
    <w:rsid w:val="2630100A"/>
    <w:rsid w:val="272C4602"/>
    <w:rsid w:val="30E2170D"/>
    <w:rsid w:val="32956D07"/>
    <w:rsid w:val="4B83327A"/>
    <w:rsid w:val="64FD5994"/>
    <w:rsid w:val="7A942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uiPriority w:val="0"/>
    <w:pPr>
      <w:snapToGrid w:val="0"/>
      <w:spacing w:line="336" w:lineRule="auto"/>
      <w:ind w:firstLine="630"/>
    </w:pPr>
    <w:rPr>
      <w:sz w:val="3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2020-05-19T00:56:37Z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