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生产技术部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含车间、库房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张永莉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李希孝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审核员：李俐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EMS：5.3组织的岗位、职责和权限、6.2环境目标、6.1.2环境因素、8.1运行策划和控制，8.2应急准备和响应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生产技术部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张永莉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，能明确本人在环境管理体系方面的职责：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1)贯彻公司环境管理方针、目标、指标和方案，组织协调生产过程中重要环境因素的有效控制；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负责部门环境因素识别评价及运行控制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负责有关环境管理体系有关技术资料的收集和管理；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3) 根据公司生产经营计划合理调度，合理配置动力能源，提高能源利用率；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) 组织建设项目、产品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工艺路线、平面布置、工艺方案的评审，参加环境保护验收与评价；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)  负责生产现场运行控制管理，实施监督和检查；参加环境事件的调查处理。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部门目标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如下，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日经查已完成。</w:t>
            </w:r>
          </w:p>
          <w:tbl>
            <w:tblPr>
              <w:tblStyle w:val="8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 w:line="240" w:lineRule="exact"/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重大环境污染事故</w:t>
                  </w: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  <w:lang w:val="en-US" w:eastAsia="zh-CN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7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环境影响投诉次数</w:t>
                  </w: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为0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查《环境因素识别评价汇总表》，对本部门生产和办公等有关过程的环境因素。分别识别了日常办公过程中的固废（废纸、墨盒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废电池、灯管）造成的土壤污染、水资源消耗、电能消耗、意外火灾引起的污染大气、生产过程（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、火灾、电能消耗、粉尘排放、噪声超标）、设备维修（废弃丢弃、漏油）等环境因素。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查到：《重要环境因素清单》，公司涉及重要环境因素：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固体废弃物的排放、火灾事故的发生。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本部门涉及的重要环境因素：均有涉及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部环境因素识别、评价基本符合标准要求。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编制与环境管理体系运行控制有关的文件有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《环境管理控制程序》、《固体废弃物污染防治控制程序》、《能源资源管理控制程序》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应急预案》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新型冠状病毒肺炎疫情应急预案及措施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负责统一打印、复印，产生的废弃物，由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增加口罩垃圾收集箱进行集中定点销毁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生产技术部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生产工艺流程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：电路板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--电路板老化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--机械装配—总装--调试--检验---包装 --交付--售后。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</w:rPr>
              <w:t>生产工艺</w:t>
            </w: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  <w:lang w:val="en-US" w:eastAsia="zh-CN"/>
              </w:rPr>
              <w:t>过程污染物的控制</w:t>
            </w: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</w:rPr>
              <w:t>: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1、电路板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元器件线路连接，焊接专业设备无污染排放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2、电路板老化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试验、调试、检验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产品检测过程无污染排放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3、机械装配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总装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有辅助工具、清洁用具、包装物的废固排放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ind w:left="0" w:leftChars="0" w:firstLine="0" w:firstLineChars="0"/>
              <w:rPr>
                <w:rFonts w:hint="default" w:ascii="楷体" w:hAnsi="楷体" w:eastAsia="楷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  <w:lang w:val="en-US" w:eastAsia="zh-CN"/>
              </w:rPr>
              <w:t>污染源的控制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产品组装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不产生废水，生活废水经化粪池简单处理后排入政府管网集中处理。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产品组装过程无废气排放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产品装配、试验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过程基本无噪声。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产品组装中主要为下料和及机加工过程产生废品、废包装物、废手套等废弃物放置在废品库，积攒一定量后出售有处理能力的单位回收再利用，无危险废物。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库房，产品、半成品分类管理标志明显。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建立了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管理制度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符合环保标准。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公司从工艺设计和采购产品时已考虑了产品的环保性（包括原材料），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产品组装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中，严格按照环保等管理制度实施，控制好辅助材料的用量，避免浪费，生命周期终了时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壳体钢材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公司生产车间和办公区域配备了消防栓、灭火器，均符合要求。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8、按有关程序和要求通报供方和顾客，采用〈告知函〉方式通报。查到相关方告知书。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9、现场观察运行控制：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现场巡视办公及生产区域配备有灭火器多个，车间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库房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均配有灭火器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企业主要从事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石油仪器的组装生产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，车间设备主要有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高低温箱、压力试验台、装配工作台、示波器、卡尺、千分尺、万用表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车间安全设施设有提示说明，方便取用，未发现遮挡消防设施和挤占消防通道的情况。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与操作人员交流了解到，员工均接受过环保和职业健康安全相关知识的培训，包括应急预案及演练等，现场人员交流对防火、逃生均较为清楚、明确，了解本岗位的设备安全操作规程。 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车间内现场设备和电线布线合理，电线均处于完好状态，设备有接地及保护装置，控制柜及漏电保护器状态良好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车间现场在环保方面的控制管理基本有效。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生产技术部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人参与了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高新园区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5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10220FE3"/>
    <w:rsid w:val="108219C2"/>
    <w:rsid w:val="14CD775E"/>
    <w:rsid w:val="197438DA"/>
    <w:rsid w:val="19793CDD"/>
    <w:rsid w:val="237220E0"/>
    <w:rsid w:val="271712A8"/>
    <w:rsid w:val="2A9111A4"/>
    <w:rsid w:val="3C384A3F"/>
    <w:rsid w:val="47C93B32"/>
    <w:rsid w:val="505A1A19"/>
    <w:rsid w:val="50A700A0"/>
    <w:rsid w:val="53EB6EE8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2020-05-19T00:30:32Z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