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3" w:afterLines="30"/>
        <w:jc w:val="center"/>
        <w:rPr>
          <w:rFonts w:ascii="楷体" w:hAnsi="楷体" w:eastAsia="楷体"/>
          <w:b/>
          <w:color w:val="000000" w:themeColor="text1"/>
          <w:sz w:val="84"/>
          <w:szCs w:val="84"/>
        </w:rPr>
      </w:pPr>
      <w:r>
        <w:rPr>
          <w:szCs w:val="21"/>
        </w:rPr>
        <w:drawing>
          <wp:anchor distT="0" distB="0" distL="114300" distR="114300" simplePos="0" relativeHeight="251666432" behindDoc="1" locked="0" layoutInCell="1" allowOverlap="1">
            <wp:simplePos x="0" y="0"/>
            <wp:positionH relativeFrom="column">
              <wp:posOffset>1732915</wp:posOffset>
            </wp:positionH>
            <wp:positionV relativeFrom="paragraph">
              <wp:posOffset>167640</wp:posOffset>
            </wp:positionV>
            <wp:extent cx="1724025" cy="1490345"/>
            <wp:effectExtent l="0" t="0" r="0" b="0"/>
            <wp:wrapTight wrapText="bothSides">
              <wp:wrapPolygon>
                <wp:start x="7160" y="0"/>
                <wp:lineTo x="5012" y="552"/>
                <wp:lineTo x="955" y="3589"/>
                <wp:lineTo x="0" y="6350"/>
                <wp:lineTo x="0" y="14081"/>
                <wp:lineTo x="2148" y="18499"/>
                <wp:lineTo x="8115" y="20983"/>
                <wp:lineTo x="9786" y="21259"/>
                <wp:lineTo x="14320" y="21259"/>
                <wp:lineTo x="18378" y="17670"/>
                <wp:lineTo x="20765" y="13253"/>
                <wp:lineTo x="21242" y="8835"/>
                <wp:lineTo x="20049" y="5798"/>
                <wp:lineTo x="19571" y="3589"/>
                <wp:lineTo x="15036" y="552"/>
                <wp:lineTo x="13127" y="0"/>
                <wp:lineTo x="7160"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4" cstate="print"/>
                    <a:stretch>
                      <a:fillRect/>
                    </a:stretch>
                  </pic:blipFill>
                  <pic:spPr>
                    <a:xfrm>
                      <a:off x="0" y="0"/>
                      <a:ext cx="1724025" cy="1490345"/>
                    </a:xfrm>
                    <a:prstGeom prst="rect">
                      <a:avLst/>
                    </a:prstGeom>
                    <a:noFill/>
                    <a:ln w="9525">
                      <a:noFill/>
                    </a:ln>
                  </pic:spPr>
                </pic:pic>
              </a:graphicData>
            </a:graphic>
          </wp:anchor>
        </w:drawing>
      </w: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3" w:afterLines="30"/>
        <w:jc w:val="center"/>
        <w:rPr>
          <w:rFonts w:ascii="楷体" w:hAnsi="楷体" w:eastAsia="楷体"/>
          <w:b/>
          <w:color w:val="000000" w:themeColor="text1"/>
          <w:sz w:val="36"/>
          <w:szCs w:val="36"/>
        </w:rPr>
      </w:pPr>
    </w:p>
    <w:p>
      <w:pPr>
        <w:snapToGrid w:val="0"/>
        <w:spacing w:after="93" w:afterLines="30"/>
        <w:jc w:val="center"/>
        <w:rPr>
          <w:rFonts w:ascii="楷体" w:hAnsi="楷体" w:eastAsia="楷体"/>
          <w:b/>
          <w:color w:val="000000" w:themeColor="text1"/>
          <w:sz w:val="36"/>
          <w:szCs w:val="36"/>
        </w:rPr>
      </w:pPr>
    </w:p>
    <w:p>
      <w:pPr>
        <w:snapToGrid w:val="0"/>
        <w:spacing w:after="93" w:afterLines="30"/>
        <w:jc w:val="center"/>
        <w:rPr>
          <w:rFonts w:ascii="楷体" w:hAnsi="楷体" w:eastAsia="楷体"/>
          <w:b/>
          <w:color w:val="000000" w:themeColor="text1"/>
          <w:sz w:val="32"/>
          <w:szCs w:val="32"/>
        </w:rPr>
      </w:pPr>
    </w:p>
    <w:p>
      <w:pPr>
        <w:snapToGrid w:val="0"/>
        <w:spacing w:after="93" w:afterLines="30"/>
        <w:ind w:firstLine="321" w:firstLineChars="100"/>
        <w:rPr>
          <w:rFonts w:hint="default" w:ascii="楷体" w:hAnsi="楷体" w:eastAsia="楷体"/>
          <w:b/>
          <w:color w:val="000000" w:themeColor="text1"/>
          <w:sz w:val="32"/>
          <w:szCs w:val="32"/>
          <w:lang w:val="en-US" w:eastAsia="zh-CN"/>
        </w:rPr>
      </w:pPr>
      <w:r>
        <w:rPr>
          <w:rFonts w:hint="eastAsia" w:ascii="楷体" w:hAnsi="楷体" w:eastAsia="楷体"/>
          <w:b/>
          <w:color w:val="000000" w:themeColor="text1"/>
          <w:sz w:val="32"/>
          <w:szCs w:val="32"/>
        </w:rPr>
        <w:t>受审核方：</w:t>
      </w:r>
      <w:bookmarkStart w:id="0" w:name="组织名称"/>
      <w:r>
        <w:rPr>
          <w:rFonts w:hint="eastAsia" w:ascii="楷体" w:hAnsi="楷体" w:eastAsia="楷体"/>
          <w:b/>
          <w:color w:val="000000" w:themeColor="text1"/>
          <w:sz w:val="32"/>
          <w:szCs w:val="32"/>
          <w:lang w:val="en-US" w:eastAsia="zh-CN"/>
        </w:rPr>
        <w:t>任丘市申华标牌设计服务有限公司</w:t>
      </w:r>
      <w:bookmarkEnd w:id="0"/>
      <w:r>
        <w:rPr>
          <w:rFonts w:hint="eastAsia" w:ascii="楷体" w:hAnsi="楷体" w:eastAsia="楷体"/>
          <w:b/>
          <w:color w:val="000000" w:themeColor="text1"/>
          <w:sz w:val="32"/>
          <w:szCs w:val="32"/>
          <w:lang w:val="en-US" w:eastAsia="zh-CN"/>
        </w:rPr>
        <w:t>（远程审核）</w:t>
      </w:r>
    </w:p>
    <w:p>
      <w:pPr>
        <w:snapToGrid w:val="0"/>
        <w:spacing w:after="93" w:afterLines="30"/>
        <w:ind w:firstLine="1928" w:firstLineChars="600"/>
        <w:rPr>
          <w:rFonts w:ascii="楷体" w:hAnsi="楷体" w:eastAsia="楷体"/>
          <w:b/>
          <w:color w:val="000000" w:themeColor="text1"/>
          <w:sz w:val="32"/>
          <w:szCs w:val="32"/>
        </w:rPr>
      </w:pPr>
    </w:p>
    <w:p>
      <w:pPr>
        <w:snapToGrid w:val="0"/>
        <w:spacing w:after="93"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3" w:afterLines="30"/>
        <w:ind w:firstLine="957" w:firstLineChars="298"/>
        <w:rPr>
          <w:rFonts w:ascii="楷体" w:hAnsi="楷体" w:eastAsia="楷体"/>
          <w:b/>
          <w:color w:val="000000" w:themeColor="text1"/>
          <w:sz w:val="32"/>
          <w:szCs w:val="32"/>
        </w:rPr>
      </w:pPr>
      <w:r>
        <w:rPr>
          <w:rFonts w:hint="eastAsia" w:ascii="宋体" w:hAnsi="宋体" w:cs="宋体"/>
          <w:b/>
          <w:color w:val="000000" w:themeColor="text1"/>
          <w:sz w:val="32"/>
          <w:szCs w:val="32"/>
        </w:rPr>
        <w:t>█</w:t>
      </w:r>
      <w:r>
        <w:rPr>
          <w:rFonts w:hint="eastAsia" w:ascii="楷体" w:hAnsi="楷体" w:eastAsia="楷体"/>
          <w:b/>
          <w:color w:val="000000" w:themeColor="text1"/>
          <w:sz w:val="32"/>
          <w:szCs w:val="32"/>
        </w:rPr>
        <w:t>质量管理体系（QMS）</w:t>
      </w:r>
    </w:p>
    <w:p>
      <w:pPr>
        <w:snapToGrid w:val="0"/>
        <w:spacing w:after="93" w:afterLines="30"/>
        <w:ind w:firstLine="957" w:firstLineChars="298"/>
        <w:rPr>
          <w:rFonts w:ascii="楷体" w:hAnsi="楷体" w:eastAsia="楷体"/>
          <w:b/>
          <w:color w:val="000000" w:themeColor="text1"/>
          <w:sz w:val="32"/>
          <w:szCs w:val="32"/>
        </w:rPr>
      </w:pPr>
      <w:r>
        <w:rPr>
          <w:rFonts w:hint="eastAsia" w:ascii="宋体" w:hAnsi="宋体" w:cs="宋体"/>
          <w:b/>
          <w:color w:val="000000" w:themeColor="text1"/>
          <w:sz w:val="32"/>
          <w:szCs w:val="32"/>
        </w:rPr>
        <w:t>█</w:t>
      </w:r>
      <w:r>
        <w:rPr>
          <w:rFonts w:hint="eastAsia" w:ascii="楷体" w:hAnsi="楷体" w:eastAsia="楷体"/>
          <w:b/>
          <w:color w:val="000000" w:themeColor="text1"/>
          <w:sz w:val="32"/>
          <w:szCs w:val="32"/>
        </w:rPr>
        <w:t>环境管理体系（EMS）</w:t>
      </w:r>
    </w:p>
    <w:p>
      <w:pPr>
        <w:snapToGrid w:val="0"/>
        <w:spacing w:after="93" w:afterLines="30"/>
        <w:ind w:firstLine="957" w:firstLineChars="298"/>
        <w:rPr>
          <w:rFonts w:ascii="楷体" w:hAnsi="楷体" w:eastAsia="楷体"/>
          <w:b/>
          <w:color w:val="000000" w:themeColor="text1"/>
          <w:sz w:val="32"/>
          <w:szCs w:val="32"/>
        </w:rPr>
      </w:pPr>
      <w:r>
        <w:rPr>
          <w:rFonts w:hint="eastAsia" w:ascii="宋体" w:hAnsi="宋体" w:cs="宋体"/>
          <w:b/>
          <w:color w:val="000000" w:themeColor="text1"/>
          <w:sz w:val="32"/>
          <w:szCs w:val="32"/>
        </w:rPr>
        <w:t>█</w:t>
      </w:r>
      <w:r>
        <w:rPr>
          <w:rFonts w:hint="eastAsia" w:ascii="楷体" w:hAnsi="楷体" w:eastAsia="楷体"/>
          <w:b/>
          <w:color w:val="000000" w:themeColor="text1"/>
          <w:sz w:val="32"/>
          <w:szCs w:val="32"/>
        </w:rPr>
        <w:t>职业健康安全管理体系（OHSMS）</w:t>
      </w:r>
    </w:p>
    <w:p>
      <w:pPr>
        <w:snapToGrid w:val="0"/>
        <w:spacing w:after="93" w:afterLines="30"/>
        <w:jc w:val="center"/>
        <w:rPr>
          <w:rFonts w:ascii="楷体" w:hAnsi="楷体" w:eastAsia="楷体"/>
          <w:b/>
          <w:color w:val="000000" w:themeColor="text1"/>
          <w:sz w:val="84"/>
          <w:szCs w:val="84"/>
        </w:rPr>
      </w:pPr>
    </w:p>
    <w:p>
      <w:pPr>
        <w:snapToGrid w:val="0"/>
        <w:spacing w:after="93"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rPr>
          <w:rStyle w:val="10"/>
          <w:rFonts w:hint="eastAsia" w:ascii="楷体" w:hAnsi="楷体" w:eastAsia="楷体"/>
          <w:b/>
          <w:sz w:val="36"/>
          <w:szCs w:val="36"/>
        </w:rPr>
        <w:fldChar w:fldCharType="end"/>
      </w:r>
    </w:p>
    <w:p>
      <w:pPr>
        <w:widowControl/>
        <w:ind w:firstLine="2172" w:firstLineChars="601"/>
        <w:jc w:val="left"/>
        <w:rPr>
          <w:rFonts w:ascii="楷体" w:hAnsi="楷体" w:eastAsia="楷体"/>
          <w:b/>
          <w:color w:val="000000" w:themeColor="text1"/>
          <w:sz w:val="36"/>
          <w:szCs w:val="36"/>
        </w:rPr>
      </w:pPr>
    </w:p>
    <w:p>
      <w:pPr>
        <w:widowControl/>
        <w:ind w:firstLine="2172" w:firstLineChars="601"/>
        <w:jc w:val="left"/>
        <w:rPr>
          <w:rFonts w:ascii="楷体" w:hAnsi="楷体" w:eastAsia="楷体"/>
          <w:b/>
          <w:color w:val="000000" w:themeColor="text1"/>
          <w:sz w:val="36"/>
          <w:szCs w:val="36"/>
        </w:rPr>
      </w:pPr>
    </w:p>
    <w:p>
      <w:pPr>
        <w:widowControl/>
        <w:ind w:firstLine="2172" w:firstLineChars="601"/>
        <w:jc w:val="left"/>
        <w:rPr>
          <w:rFonts w:ascii="楷体" w:hAnsi="楷体" w:eastAsia="楷体"/>
          <w:b/>
          <w:color w:val="000000" w:themeColor="text1"/>
          <w:sz w:val="36"/>
          <w:szCs w:val="36"/>
        </w:rPr>
      </w:pPr>
    </w:p>
    <w:p>
      <w:pPr>
        <w:widowControl/>
        <w:ind w:firstLine="2172" w:firstLineChars="601"/>
        <w:jc w:val="left"/>
        <w:rPr>
          <w:rFonts w:ascii="楷体" w:hAnsi="楷体" w:eastAsia="楷体"/>
          <w:b/>
          <w:color w:val="000000" w:themeColor="text1"/>
          <w:sz w:val="36"/>
          <w:szCs w:val="3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948"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1086"/>
        <w:gridCol w:w="1527"/>
        <w:gridCol w:w="151"/>
        <w:gridCol w:w="85"/>
        <w:gridCol w:w="1321"/>
        <w:gridCol w:w="1641"/>
        <w:gridCol w:w="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9"/>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119" w:type="dxa"/>
            <w:gridSpan w:val="6"/>
            <w:vAlign w:val="center"/>
          </w:tcPr>
          <w:p>
            <w:pPr>
              <w:pStyle w:val="11"/>
              <w:ind w:left="-142" w:firstLine="0" w:firstLineChars="0"/>
              <w:rPr>
                <w:b/>
                <w:color w:val="000000" w:themeColor="text1"/>
                <w:sz w:val="20"/>
                <w:szCs w:val="20"/>
                <w:lang w:val="de-DE"/>
              </w:rPr>
            </w:pPr>
            <w:r>
              <w:rPr>
                <w:rFonts w:hint="eastAsia"/>
                <w:b/>
                <w:color w:val="000000" w:themeColor="text1"/>
                <w:sz w:val="20"/>
                <w:szCs w:val="20"/>
              </w:rPr>
              <w:t>北京市朝阳区北苑路168号楼16层1603号</w:t>
            </w:r>
          </w:p>
        </w:tc>
        <w:tc>
          <w:tcPr>
            <w:tcW w:w="1406" w:type="dxa"/>
            <w:gridSpan w:val="2"/>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pPr>
              <w:rPr>
                <w:b/>
                <w:color w:val="000000" w:themeColor="text1"/>
                <w:sz w:val="20"/>
                <w:szCs w:val="20"/>
              </w:rPr>
            </w:pPr>
            <w:r>
              <w:rPr>
                <w:rFonts w:hint="eastAsia"/>
                <w:b/>
                <w:color w:val="000000" w:themeColor="text1"/>
                <w:sz w:val="20"/>
                <w:szCs w:val="20"/>
              </w:rPr>
              <w:t>010-51095332</w:t>
            </w:r>
          </w:p>
        </w:tc>
        <w:tc>
          <w:tcPr>
            <w:tcW w:w="1086" w:type="dxa"/>
            <w:vAlign w:val="center"/>
          </w:tcPr>
          <w:p>
            <w:pPr>
              <w:rPr>
                <w:b/>
                <w:color w:val="000000" w:themeColor="text1"/>
                <w:sz w:val="20"/>
                <w:szCs w:val="20"/>
              </w:rPr>
            </w:pPr>
            <w:r>
              <w:rPr>
                <w:rFonts w:hint="eastAsia"/>
                <w:b/>
                <w:color w:val="000000" w:themeColor="text1"/>
                <w:sz w:val="20"/>
                <w:szCs w:val="20"/>
              </w:rPr>
              <w:t>传真</w:t>
            </w:r>
          </w:p>
        </w:tc>
        <w:tc>
          <w:tcPr>
            <w:tcW w:w="1527" w:type="dxa"/>
            <w:vAlign w:val="center"/>
          </w:tcPr>
          <w:p>
            <w:pPr>
              <w:rPr>
                <w:b/>
                <w:color w:val="000000" w:themeColor="text1"/>
                <w:sz w:val="20"/>
                <w:szCs w:val="20"/>
              </w:rPr>
            </w:pPr>
            <w:r>
              <w:rPr>
                <w:rFonts w:hint="eastAsia"/>
                <w:b/>
                <w:color w:val="000000" w:themeColor="text1"/>
                <w:sz w:val="20"/>
                <w:szCs w:val="20"/>
              </w:rPr>
              <w:t>51095332</w:t>
            </w:r>
          </w:p>
        </w:tc>
        <w:tc>
          <w:tcPr>
            <w:tcW w:w="236" w:type="dxa"/>
            <w:gridSpan w:val="2"/>
            <w:vAlign w:val="center"/>
          </w:tcPr>
          <w:p>
            <w:pPr>
              <w:rPr>
                <w:b/>
                <w:color w:val="000000" w:themeColor="text1"/>
                <w:sz w:val="20"/>
                <w:szCs w:val="20"/>
              </w:rPr>
            </w:pPr>
            <w:r>
              <w:rPr>
                <w:rFonts w:hint="eastAsia"/>
                <w:b/>
                <w:color w:val="000000" w:themeColor="text1"/>
                <w:sz w:val="20"/>
                <w:szCs w:val="20"/>
              </w:rPr>
              <w:t>邮箱</w:t>
            </w:r>
          </w:p>
        </w:tc>
        <w:tc>
          <w:tcPr>
            <w:tcW w:w="3047" w:type="dxa"/>
            <w:gridSpan w:val="3"/>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Height w:val="428" w:hRule="atLeast"/>
        </w:trPr>
        <w:tc>
          <w:tcPr>
            <w:tcW w:w="9863" w:type="dxa"/>
            <w:gridSpan w:val="10"/>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Height w:val="645" w:hRule="atLeast"/>
        </w:trPr>
        <w:tc>
          <w:tcPr>
            <w:tcW w:w="1844" w:type="dxa"/>
            <w:gridSpan w:val="2"/>
            <w:vAlign w:val="center"/>
          </w:tcPr>
          <w:p>
            <w:pPr>
              <w:jc w:val="center"/>
              <w:rPr>
                <w:b/>
                <w:color w:val="000000" w:themeColor="text1"/>
                <w:sz w:val="20"/>
                <w:szCs w:val="20"/>
              </w:rPr>
            </w:pPr>
            <w:r>
              <w:rPr>
                <w:rFonts w:hint="eastAsia"/>
                <w:b/>
                <w:color w:val="000000" w:themeColor="text1"/>
                <w:sz w:val="20"/>
                <w:szCs w:val="20"/>
              </w:rPr>
              <w:t>姓名</w:t>
            </w:r>
          </w:p>
        </w:tc>
        <w:tc>
          <w:tcPr>
            <w:tcW w:w="992" w:type="dxa"/>
            <w:vAlign w:val="center"/>
          </w:tcPr>
          <w:p>
            <w:pPr>
              <w:jc w:val="center"/>
              <w:rPr>
                <w:b/>
                <w:color w:val="000000" w:themeColor="text1"/>
                <w:sz w:val="20"/>
                <w:szCs w:val="20"/>
              </w:rPr>
            </w:pPr>
            <w:r>
              <w:rPr>
                <w:rFonts w:hint="eastAsia"/>
                <w:b/>
                <w:color w:val="000000" w:themeColor="text1"/>
                <w:sz w:val="20"/>
                <w:szCs w:val="20"/>
              </w:rPr>
              <w:t>性别</w:t>
            </w:r>
          </w:p>
        </w:tc>
        <w:tc>
          <w:tcPr>
            <w:tcW w:w="1216" w:type="dxa"/>
            <w:vAlign w:val="center"/>
          </w:tcPr>
          <w:p>
            <w:pPr>
              <w:jc w:val="center"/>
              <w:rPr>
                <w:b/>
                <w:color w:val="000000" w:themeColor="text1"/>
                <w:sz w:val="20"/>
                <w:szCs w:val="20"/>
              </w:rPr>
            </w:pPr>
            <w:r>
              <w:rPr>
                <w:rFonts w:hint="eastAsia"/>
                <w:b/>
                <w:color w:val="000000" w:themeColor="text1"/>
                <w:sz w:val="20"/>
                <w:szCs w:val="20"/>
              </w:rPr>
              <w:t>职务</w:t>
            </w:r>
          </w:p>
        </w:tc>
        <w:tc>
          <w:tcPr>
            <w:tcW w:w="2764" w:type="dxa"/>
            <w:gridSpan w:val="3"/>
            <w:vAlign w:val="center"/>
          </w:tcPr>
          <w:p>
            <w:pPr>
              <w:jc w:val="center"/>
              <w:rPr>
                <w:b/>
                <w:color w:val="000000" w:themeColor="text1"/>
                <w:sz w:val="20"/>
                <w:szCs w:val="20"/>
              </w:rPr>
            </w:pPr>
            <w:r>
              <w:rPr>
                <w:rFonts w:hint="eastAsia"/>
                <w:b/>
                <w:color w:val="000000" w:themeColor="text1"/>
                <w:sz w:val="20"/>
                <w:szCs w:val="20"/>
              </w:rPr>
              <w:t>审核员注册号</w:t>
            </w:r>
          </w:p>
        </w:tc>
        <w:tc>
          <w:tcPr>
            <w:tcW w:w="3047" w:type="dxa"/>
            <w:gridSpan w:val="3"/>
            <w:vAlign w:val="center"/>
          </w:tcPr>
          <w:p>
            <w:pPr>
              <w:jc w:val="center"/>
              <w:rPr>
                <w:b/>
                <w:color w:val="000000" w:themeColor="text1"/>
                <w:sz w:val="20"/>
                <w:szCs w:val="20"/>
              </w:rPr>
            </w:pPr>
            <w:r>
              <w:rPr>
                <w:rFonts w:hint="eastAsia"/>
                <w:b/>
                <w:color w:val="000000" w:themeColor="text1"/>
                <w:sz w:val="20"/>
                <w:szCs w:val="20"/>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Height w:val="510" w:hRule="atLeast"/>
        </w:trPr>
        <w:tc>
          <w:tcPr>
            <w:tcW w:w="1844" w:type="dxa"/>
            <w:gridSpan w:val="2"/>
            <w:vAlign w:val="center"/>
          </w:tcPr>
          <w:p>
            <w:pPr>
              <w:spacing w:line="240" w:lineRule="exact"/>
              <w:rPr>
                <w:b/>
                <w:color w:val="000000" w:themeColor="text1"/>
                <w:sz w:val="20"/>
                <w:szCs w:val="20"/>
              </w:rPr>
            </w:pPr>
            <w:r>
              <w:rPr>
                <w:rFonts w:hint="eastAsia"/>
                <w:sz w:val="18"/>
                <w:szCs w:val="18"/>
              </w:rPr>
              <w:t>李京田</w:t>
            </w:r>
          </w:p>
        </w:tc>
        <w:tc>
          <w:tcPr>
            <w:tcW w:w="992" w:type="dxa"/>
            <w:vAlign w:val="center"/>
          </w:tcPr>
          <w:p>
            <w:pPr>
              <w:spacing w:line="240" w:lineRule="exact"/>
              <w:jc w:val="center"/>
              <w:rPr>
                <w:b/>
                <w:color w:val="000000" w:themeColor="text1"/>
                <w:sz w:val="20"/>
                <w:szCs w:val="20"/>
              </w:rPr>
            </w:pPr>
            <w:r>
              <w:rPr>
                <w:rFonts w:hint="eastAsia"/>
                <w:sz w:val="18"/>
                <w:szCs w:val="18"/>
              </w:rPr>
              <w:t>女</w:t>
            </w:r>
          </w:p>
        </w:tc>
        <w:tc>
          <w:tcPr>
            <w:tcW w:w="1216" w:type="dxa"/>
            <w:vAlign w:val="center"/>
          </w:tcPr>
          <w:p>
            <w:pPr>
              <w:spacing w:line="240" w:lineRule="exact"/>
              <w:rPr>
                <w:b/>
                <w:color w:val="000000" w:themeColor="text1"/>
                <w:sz w:val="20"/>
                <w:szCs w:val="20"/>
              </w:rPr>
            </w:pPr>
            <w:r>
              <w:rPr>
                <w:rFonts w:hint="eastAsia"/>
                <w:szCs w:val="21"/>
              </w:rPr>
              <w:t>☆</w:t>
            </w:r>
          </w:p>
        </w:tc>
        <w:tc>
          <w:tcPr>
            <w:tcW w:w="2764" w:type="dxa"/>
            <w:gridSpan w:val="3"/>
          </w:tcPr>
          <w:p>
            <w:pPr>
              <w:spacing w:line="240" w:lineRule="exact"/>
              <w:rPr>
                <w:sz w:val="18"/>
                <w:szCs w:val="18"/>
              </w:rPr>
            </w:pPr>
            <w:r>
              <w:rPr>
                <w:sz w:val="18"/>
                <w:szCs w:val="18"/>
              </w:rPr>
              <w:t>Q:审核员</w:t>
            </w:r>
          </w:p>
          <w:p>
            <w:pPr>
              <w:spacing w:line="240" w:lineRule="exact"/>
              <w:rPr>
                <w:sz w:val="18"/>
                <w:szCs w:val="18"/>
              </w:rPr>
            </w:pPr>
            <w:r>
              <w:rPr>
                <w:sz w:val="18"/>
                <w:szCs w:val="18"/>
              </w:rPr>
              <w:t>E:审核员</w:t>
            </w:r>
          </w:p>
          <w:p>
            <w:pPr>
              <w:spacing w:line="240" w:lineRule="exact"/>
              <w:rPr>
                <w:b/>
                <w:color w:val="000000" w:themeColor="text1"/>
                <w:sz w:val="20"/>
                <w:szCs w:val="20"/>
              </w:rPr>
            </w:pPr>
            <w:r>
              <w:rPr>
                <w:sz w:val="18"/>
                <w:szCs w:val="18"/>
              </w:rPr>
              <w:t>O:审核员</w:t>
            </w:r>
          </w:p>
        </w:tc>
        <w:tc>
          <w:tcPr>
            <w:tcW w:w="3047" w:type="dxa"/>
            <w:gridSpan w:val="3"/>
            <w:vAlign w:val="center"/>
          </w:tcPr>
          <w:p>
            <w:pPr>
              <w:rPr>
                <w:rFonts w:hint="eastAsia"/>
                <w:b/>
                <w:szCs w:val="21"/>
              </w:rPr>
            </w:pPr>
            <w:r>
              <w:rPr>
                <w:rFonts w:hint="eastAsia"/>
                <w:b/>
                <w:szCs w:val="21"/>
              </w:rPr>
              <w:t>Q：29.12.00;34.05.00;35.05.01</w:t>
            </w:r>
          </w:p>
          <w:p>
            <w:pPr>
              <w:rPr>
                <w:rFonts w:hint="eastAsia"/>
                <w:b/>
                <w:szCs w:val="21"/>
              </w:rPr>
            </w:pPr>
            <w:r>
              <w:rPr>
                <w:rFonts w:hint="eastAsia"/>
                <w:b/>
                <w:szCs w:val="21"/>
              </w:rPr>
              <w:t>E：29.12.00;34.05.00;35.05.01</w:t>
            </w:r>
          </w:p>
          <w:p>
            <w:pPr>
              <w:spacing w:line="240" w:lineRule="exact"/>
              <w:rPr>
                <w:b/>
                <w:color w:val="000000" w:themeColor="text1"/>
                <w:sz w:val="20"/>
                <w:szCs w:val="20"/>
              </w:rPr>
            </w:pPr>
            <w:r>
              <w:rPr>
                <w:rFonts w:hint="eastAsia"/>
                <w:b/>
                <w:szCs w:val="21"/>
              </w:rPr>
              <w:t>O：29.12.00;34.05.00;35.05.01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Height w:val="465" w:hRule="atLeast"/>
        </w:trPr>
        <w:tc>
          <w:tcPr>
            <w:tcW w:w="1844" w:type="dxa"/>
            <w:gridSpan w:val="2"/>
            <w:vAlign w:val="center"/>
          </w:tcPr>
          <w:p>
            <w:pPr>
              <w:spacing w:line="240" w:lineRule="exact"/>
              <w:rPr>
                <w:b/>
                <w:color w:val="000000" w:themeColor="text1"/>
                <w:sz w:val="20"/>
                <w:szCs w:val="20"/>
              </w:rPr>
            </w:pPr>
          </w:p>
        </w:tc>
        <w:tc>
          <w:tcPr>
            <w:tcW w:w="992" w:type="dxa"/>
            <w:vAlign w:val="center"/>
          </w:tcPr>
          <w:p>
            <w:pPr>
              <w:spacing w:line="240" w:lineRule="exact"/>
              <w:jc w:val="center"/>
              <w:rPr>
                <w:b/>
                <w:color w:val="000000" w:themeColor="text1"/>
                <w:sz w:val="20"/>
                <w:szCs w:val="20"/>
              </w:rPr>
            </w:pPr>
          </w:p>
        </w:tc>
        <w:tc>
          <w:tcPr>
            <w:tcW w:w="1216" w:type="dxa"/>
            <w:vAlign w:val="center"/>
          </w:tcPr>
          <w:p>
            <w:pPr>
              <w:spacing w:line="240" w:lineRule="exact"/>
              <w:rPr>
                <w:b/>
                <w:color w:val="000000" w:themeColor="text1"/>
                <w:sz w:val="20"/>
                <w:szCs w:val="20"/>
              </w:rPr>
            </w:pPr>
          </w:p>
        </w:tc>
        <w:tc>
          <w:tcPr>
            <w:tcW w:w="2764" w:type="dxa"/>
            <w:gridSpan w:val="3"/>
          </w:tcPr>
          <w:p>
            <w:pPr>
              <w:spacing w:line="240" w:lineRule="exact"/>
              <w:rPr>
                <w:b/>
                <w:color w:val="000000" w:themeColor="text1"/>
                <w:sz w:val="20"/>
                <w:szCs w:val="20"/>
              </w:rPr>
            </w:pPr>
          </w:p>
        </w:tc>
        <w:tc>
          <w:tcPr>
            <w:tcW w:w="3047" w:type="dxa"/>
            <w:gridSpan w:val="3"/>
            <w:vAlign w:val="center"/>
          </w:tcPr>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Height w:val="351" w:hRule="atLeast"/>
        </w:trPr>
        <w:tc>
          <w:tcPr>
            <w:tcW w:w="9863" w:type="dxa"/>
            <w:gridSpan w:val="10"/>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2764" w:type="dxa"/>
            <w:gridSpan w:val="3"/>
            <w:vAlign w:val="center"/>
          </w:tcPr>
          <w:p>
            <w:pPr>
              <w:rPr>
                <w:b/>
                <w:color w:val="000000" w:themeColor="text1"/>
                <w:sz w:val="20"/>
                <w:szCs w:val="20"/>
              </w:rPr>
            </w:pPr>
            <w:r>
              <w:rPr>
                <w:rFonts w:hint="eastAsia"/>
                <w:b/>
                <w:color w:val="000000" w:themeColor="text1"/>
                <w:sz w:val="20"/>
                <w:szCs w:val="20"/>
              </w:rPr>
              <w:t>工作单位</w:t>
            </w:r>
          </w:p>
        </w:tc>
        <w:tc>
          <w:tcPr>
            <w:tcW w:w="3047" w:type="dxa"/>
            <w:gridSpan w:val="3"/>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2764" w:type="dxa"/>
            <w:gridSpan w:val="3"/>
            <w:vAlign w:val="center"/>
          </w:tcPr>
          <w:p>
            <w:pPr>
              <w:rPr>
                <w:b/>
                <w:color w:val="000000" w:themeColor="text1"/>
              </w:rPr>
            </w:pPr>
          </w:p>
        </w:tc>
        <w:tc>
          <w:tcPr>
            <w:tcW w:w="3047" w:type="dxa"/>
            <w:gridSpan w:val="3"/>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2764" w:type="dxa"/>
            <w:gridSpan w:val="3"/>
            <w:vAlign w:val="center"/>
          </w:tcPr>
          <w:p>
            <w:pPr>
              <w:rPr>
                <w:b/>
                <w:color w:val="000000" w:themeColor="text1"/>
              </w:rPr>
            </w:pPr>
          </w:p>
        </w:tc>
        <w:tc>
          <w:tcPr>
            <w:tcW w:w="3047" w:type="dxa"/>
            <w:gridSpan w:val="3"/>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hAnsi="宋体" w:cs="宋体"/>
                <w:color w:val="000000" w:themeColor="text1"/>
                <w:kern w:val="0"/>
                <w:sz w:val="20"/>
                <w:szCs w:val="20"/>
              </w:rPr>
              <w:t>█</w:t>
            </w:r>
            <w:r>
              <w:rPr>
                <w:rFonts w:ascii="宋体" w:cs="宋体" w:hAnsiTheme="minorHAnsi"/>
                <w:color w:val="000000" w:themeColor="text1"/>
                <w:kern w:val="0"/>
                <w:sz w:val="20"/>
                <w:szCs w:val="20"/>
              </w:rPr>
              <w:t>QMS/</w:t>
            </w:r>
            <w:r>
              <w:rPr>
                <w:rFonts w:hint="eastAsia" w:ascii="宋体" w:hAnsi="宋体" w:cs="宋体"/>
                <w:color w:val="000000" w:themeColor="text1"/>
                <w:kern w:val="0"/>
                <w:sz w:val="20"/>
                <w:szCs w:val="20"/>
              </w:rPr>
              <w:t>█</w:t>
            </w:r>
            <w:r>
              <w:rPr>
                <w:rFonts w:ascii="宋体" w:cs="宋体" w:hAnsiTheme="minorHAnsi"/>
                <w:color w:val="000000" w:themeColor="text1"/>
                <w:kern w:val="0"/>
                <w:sz w:val="20"/>
                <w:szCs w:val="20"/>
              </w:rPr>
              <w:t>EMS/</w:t>
            </w:r>
            <w:r>
              <w:rPr>
                <w:rFonts w:hint="eastAsia" w:ascii="宋体" w:hAnsi="宋体" w:cs="宋体"/>
                <w:color w:val="000000" w:themeColor="text1"/>
                <w:kern w:val="0"/>
                <w:sz w:val="20"/>
                <w:szCs w:val="20"/>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pStyle w:val="11"/>
        <w:ind w:left="-142" w:firstLine="0" w:firstLineChars="0"/>
        <w:rPr>
          <w:rFonts w:ascii="宋体" w:hAnsi="宋体"/>
          <w:b/>
          <w:color w:val="000000" w:themeColor="text1"/>
          <w:sz w:val="20"/>
          <w:szCs w:val="20"/>
        </w:rPr>
      </w:pPr>
      <w:r>
        <w:rPr>
          <w:rFonts w:hint="eastAsia" w:ascii="宋体" w:hAnsi="宋体" w:cs="宋体"/>
          <w:b/>
          <w:color w:val="000000" w:themeColor="text1"/>
          <w:spacing w:val="-10"/>
          <w:sz w:val="20"/>
          <w:szCs w:val="20"/>
        </w:rPr>
        <w:t>█</w:t>
      </w:r>
      <w:r>
        <w:rPr>
          <w:rFonts w:hint="eastAsia" w:ascii="宋体" w:hAnsi="宋体"/>
          <w:b/>
          <w:color w:val="000000" w:themeColor="text1"/>
          <w:sz w:val="20"/>
          <w:szCs w:val="20"/>
          <w:lang w:val="de-DE"/>
        </w:rPr>
        <w:t xml:space="preserve">ISO9001:2015    </w:t>
      </w:r>
      <w:r>
        <w:rPr>
          <w:rFonts w:hint="eastAsia" w:ascii="宋体" w:hAnsi="宋体" w:cs="宋体"/>
          <w:b/>
          <w:color w:val="000000" w:themeColor="text1"/>
          <w:spacing w:val="-10"/>
          <w:sz w:val="20"/>
          <w:szCs w:val="20"/>
          <w:lang w:val="de-DE"/>
        </w:rPr>
        <w:t>█</w:t>
      </w:r>
      <w:r>
        <w:rPr>
          <w:rFonts w:hint="eastAsia" w:ascii="宋体" w:hAnsi="宋体"/>
          <w:b/>
          <w:color w:val="000000" w:themeColor="text1"/>
          <w:spacing w:val="-10"/>
          <w:sz w:val="20"/>
          <w:szCs w:val="20"/>
          <w:lang w:val="de-DE"/>
        </w:rPr>
        <w:t xml:space="preserve">ISO14001:2015       </w:t>
      </w:r>
      <w:r>
        <w:rPr>
          <w:rFonts w:hint="eastAsia" w:ascii="宋体" w:hAnsi="宋体" w:cs="宋体"/>
          <w:b/>
          <w:color w:val="000000" w:themeColor="text1"/>
          <w:spacing w:val="-10"/>
          <w:sz w:val="20"/>
          <w:szCs w:val="20"/>
          <w:lang w:val="de-DE"/>
        </w:rPr>
        <w:t>█</w:t>
      </w:r>
      <w:r>
        <w:rPr>
          <w:rFonts w:ascii="宋体" w:hAnsi="宋体"/>
          <w:b/>
          <w:color w:val="000000" w:themeColor="text1"/>
          <w:spacing w:val="-10"/>
          <w:sz w:val="20"/>
          <w:szCs w:val="20"/>
          <w:lang w:val="de-DE"/>
        </w:rPr>
        <w:t>ISO45001:2018</w:t>
      </w:r>
      <w:r>
        <w:rPr>
          <w:rFonts w:hint="eastAsia" w:ascii="宋体" w:hAnsi="宋体"/>
          <w:b/>
          <w:color w:val="000000" w:themeColor="text1"/>
          <w:spacing w:val="-10"/>
          <w:sz w:val="20"/>
          <w:szCs w:val="20"/>
          <w:lang w:val="de-DE"/>
        </w:rPr>
        <w:t xml:space="preserve">           </w:t>
      </w:r>
      <w:r>
        <w:rPr>
          <w:rFonts w:hint="eastAsia" w:ascii="宋体" w:hAnsi="宋体" w:cs="宋体"/>
          <w:b/>
          <w:color w:val="000000" w:themeColor="text1"/>
          <w:spacing w:val="-10"/>
          <w:sz w:val="20"/>
          <w:szCs w:val="20"/>
          <w:lang w:val="de-DE"/>
        </w:rPr>
        <w:t>█</w:t>
      </w:r>
      <w:r>
        <w:rPr>
          <w:rFonts w:hint="eastAsia" w:ascii="宋体" w:hAnsi="宋体"/>
          <w:b/>
          <w:color w:val="000000" w:themeColor="text1"/>
          <w:sz w:val="20"/>
          <w:szCs w:val="20"/>
        </w:rPr>
        <w:t>受审核方管理体系文件</w:t>
      </w:r>
    </w:p>
    <w:p>
      <w:pPr>
        <w:pStyle w:val="11"/>
        <w:ind w:left="-142" w:firstLine="0" w:firstLineChars="0"/>
        <w:rPr>
          <w:rFonts w:ascii="宋体" w:hAnsi="宋体"/>
          <w:b/>
          <w:color w:val="000000" w:themeColor="text1"/>
          <w:sz w:val="26"/>
          <w:szCs w:val="26"/>
        </w:rPr>
      </w:pPr>
      <w:r>
        <w:rPr>
          <w:rFonts w:hint="eastAsia" w:ascii="宋体" w:hAnsi="宋体"/>
          <w:b/>
          <w:color w:val="000000" w:themeColor="text1"/>
          <w:spacing w:val="-10"/>
          <w:sz w:val="20"/>
          <w:szCs w:val="20"/>
          <w:lang w:val="de-DE"/>
        </w:rPr>
        <w:t xml:space="preserve"> </w:t>
      </w:r>
      <w:r>
        <w:rPr>
          <w:rFonts w:hint="eastAsia" w:ascii="宋体" w:hAnsi="宋体" w:cs="宋体"/>
          <w:b/>
          <w:color w:val="000000" w:themeColor="text1"/>
          <w:spacing w:val="-10"/>
          <w:sz w:val="20"/>
          <w:szCs w:val="20"/>
          <w:lang w:val="de-DE"/>
        </w:rPr>
        <w:t>█</w:t>
      </w:r>
      <w:r>
        <w:rPr>
          <w:rFonts w:hint="eastAsia" w:ascii="宋体" w:hAnsi="宋体"/>
          <w:b/>
          <w:color w:val="000000" w:themeColor="text1"/>
          <w:sz w:val="20"/>
          <w:szCs w:val="20"/>
        </w:rPr>
        <w:t>适用的法律、法规、标准。</w:t>
      </w:r>
      <w:r>
        <w:rPr>
          <w:rFonts w:hint="eastAsia" w:ascii="宋体" w:hAnsi="宋体"/>
          <w:b/>
          <w:color w:val="000000" w:themeColor="text1"/>
          <w:spacing w:val="-10"/>
          <w:sz w:val="20"/>
          <w:szCs w:val="20"/>
          <w:lang w:val="de-DE"/>
        </w:rPr>
        <w:t xml:space="preserve"> </w:t>
      </w:r>
      <w:r>
        <w:rPr>
          <w:rFonts w:hint="eastAsia" w:ascii="宋体" w:hAnsi="宋体" w:cs="宋体"/>
          <w:b/>
          <w:color w:val="000000" w:themeColor="text1"/>
          <w:spacing w:val="-10"/>
          <w:sz w:val="20"/>
          <w:szCs w:val="20"/>
          <w:lang w:val="de-DE"/>
        </w:rPr>
        <w:t>█</w:t>
      </w:r>
      <w:r>
        <w:rPr>
          <w:rFonts w:hint="eastAsia" w:ascii="宋体" w:hAnsi="宋体"/>
          <w:b/>
          <w:color w:val="000000" w:themeColor="text1"/>
          <w:spacing w:val="-10"/>
          <w:sz w:val="20"/>
          <w:szCs w:val="20"/>
        </w:rPr>
        <w:t>合同要求</w:t>
      </w:r>
      <w:r>
        <w:rPr>
          <w:rFonts w:hint="eastAsia" w:ascii="宋体" w:hAnsi="宋体"/>
          <w:b/>
          <w:color w:val="000000" w:themeColor="text1"/>
          <w:spacing w:val="-10"/>
          <w:sz w:val="22"/>
          <w:szCs w:val="22"/>
        </w:rPr>
        <w:t xml:space="preserve"> </w:t>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r>
              <w:rPr>
                <w:color w:val="000000"/>
                <w:szCs w:val="21"/>
              </w:rPr>
              <w:t>任丘市申华标牌设计服务有限公司</w:t>
            </w:r>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r>
              <w:rPr>
                <w:rFonts w:hint="eastAsia" w:ascii="宋体"/>
                <w:b/>
                <w:lang w:val="en-US" w:eastAsia="zh-CN"/>
              </w:rPr>
              <w:t>10</w:t>
            </w:r>
            <w:r>
              <w:rPr>
                <w:rFonts w:hint="eastAsia" w:ascii="宋体"/>
                <w:b/>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vAlign w:val="top"/>
          </w:tcPr>
          <w:p>
            <w:pPr>
              <w:rPr>
                <w:rFonts w:ascii="宋体" w:hAnsi="宋体"/>
                <w:b/>
                <w:color w:val="000000" w:themeColor="text1"/>
                <w:sz w:val="20"/>
                <w:szCs w:val="20"/>
              </w:rPr>
            </w:pPr>
            <w:r>
              <w:t>任丘市议论堡乡三杰村</w:t>
            </w:r>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jc w:val="center"/>
              <w:rPr>
                <w:rFonts w:ascii="宋体" w:hAnsi="宋体"/>
                <w:b/>
                <w:color w:val="000000" w:themeColor="text1"/>
                <w:spacing w:val="-2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vAlign w:val="top"/>
          </w:tcPr>
          <w:p>
            <w:r>
              <w:t>任丘市议论堡乡三杰村</w:t>
            </w: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 w:name="联系人"/>
            <w:r>
              <w:t>李艳杰</w:t>
            </w:r>
            <w:bookmarkEnd w:id="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2" w:name="联系人手机"/>
            <w:r>
              <w:t>13831791298</w:t>
            </w:r>
            <w:bookmarkEnd w:id="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3" w:name="法人"/>
            <w:r>
              <w:t>王洪升</w:t>
            </w:r>
            <w:bookmarkEnd w:id="3"/>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r>
              <w:t>王洪升</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r>
              <w:t>李艳杰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rPr>
                <w:rFonts w:hint="eastAsia"/>
                <w:b/>
                <w:bCs/>
                <w:color w:val="auto"/>
                <w:szCs w:val="21"/>
              </w:rPr>
            </w:pPr>
            <w:r>
              <w:rPr>
                <w:rFonts w:hint="eastAsia" w:ascii="宋体" w:hAnsi="宋体"/>
                <w:b/>
                <w:bCs/>
                <w:color w:val="auto"/>
                <w:szCs w:val="21"/>
              </w:rPr>
              <w:t>Q：交通标牌、路牌、指路牌、标牌、标识、广告牌、公交候车亭；户外广告与LED显示屏设计、销售；金属制品（宣传栏、护栏护窗、不锈钢框）的销售</w:t>
            </w:r>
          </w:p>
          <w:p>
            <w:pPr>
              <w:rPr>
                <w:rFonts w:hint="eastAsia" w:ascii="宋体" w:hAnsi="宋体"/>
                <w:b/>
                <w:bCs/>
                <w:color w:val="auto"/>
                <w:szCs w:val="21"/>
              </w:rPr>
            </w:pPr>
            <w:r>
              <w:rPr>
                <w:rFonts w:hint="eastAsia" w:ascii="宋体" w:hAnsi="宋体"/>
                <w:b/>
                <w:bCs/>
                <w:color w:val="auto"/>
                <w:szCs w:val="21"/>
              </w:rPr>
              <w:t>E：交通标牌、路牌、指路牌、标牌、标识、广告牌、公交候车亭；户外广告与LED显示屏设计、销售；金属制品（宣传栏、护栏护窗、不锈钢框）的销售及其场所所涉及的环境管理活动</w:t>
            </w:r>
          </w:p>
          <w:p>
            <w:pPr>
              <w:snapToGrid w:val="0"/>
              <w:spacing w:line="420" w:lineRule="auto"/>
              <w:rPr>
                <w:rFonts w:ascii="宋体" w:hAnsi="宋体"/>
                <w:b/>
                <w:color w:val="000000" w:themeColor="text1"/>
                <w:sz w:val="20"/>
                <w:szCs w:val="20"/>
                <w:u w:val="single"/>
                <w:lang w:val="en-GB"/>
              </w:rPr>
            </w:pPr>
            <w:r>
              <w:rPr>
                <w:rFonts w:hint="eastAsia" w:ascii="宋体" w:hAnsi="宋体"/>
                <w:b/>
                <w:bCs/>
                <w:color w:val="auto"/>
                <w:szCs w:val="21"/>
              </w:rPr>
              <w:t xml:space="preserve">O：交通标牌、路牌、指路牌、标牌、标识、广告牌、公交候车亭；户外广告与LED显示屏设计、销售；金属制品（宣传栏、护栏护窗、不锈钢框）的销售及其场所所涉及的职业健康安全管理活动 </w:t>
            </w:r>
            <w:r>
              <w:rPr>
                <w:rFonts w:hint="eastAsia" w:ascii="宋体" w:hAnsi="宋体"/>
                <w:color w:val="auto"/>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rPr>
                <w:rFonts w:hint="eastAsia"/>
                <w:b/>
                <w:szCs w:val="21"/>
              </w:rPr>
            </w:pPr>
            <w:bookmarkStart w:id="4" w:name="专业代码"/>
            <w:r>
              <w:rPr>
                <w:rFonts w:hint="eastAsia"/>
                <w:b/>
                <w:szCs w:val="21"/>
              </w:rPr>
              <w:t>Q：29.12.00;34.05.00;35.05.01</w:t>
            </w:r>
          </w:p>
          <w:p>
            <w:pPr>
              <w:rPr>
                <w:rFonts w:hint="eastAsia"/>
                <w:b/>
                <w:szCs w:val="21"/>
              </w:rPr>
            </w:pPr>
            <w:r>
              <w:rPr>
                <w:rFonts w:hint="eastAsia"/>
                <w:b/>
                <w:szCs w:val="21"/>
              </w:rPr>
              <w:t>E：29.12.00;34.05.00;35.05.01</w:t>
            </w:r>
          </w:p>
          <w:p>
            <w:pPr>
              <w:spacing w:line="320" w:lineRule="exact"/>
              <w:rPr>
                <w:rFonts w:ascii="宋体" w:hAnsi="宋体"/>
                <w:b/>
                <w:color w:val="000000" w:themeColor="text1"/>
                <w:sz w:val="20"/>
                <w:szCs w:val="20"/>
              </w:rPr>
            </w:pPr>
            <w:r>
              <w:rPr>
                <w:rFonts w:hint="eastAsia"/>
                <w:b/>
                <w:szCs w:val="21"/>
              </w:rPr>
              <w:t>O：29.12.00;34.05.00;35.05.01</w:t>
            </w:r>
            <w:bookmarkEnd w:id="4"/>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cs="宋体"/>
                <w:b/>
                <w:color w:val="000000" w:themeColor="text1"/>
                <w:sz w:val="20"/>
                <w:szCs w:val="20"/>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r>
              <w:rPr>
                <w:rFonts w:hint="eastAsia"/>
              </w:rPr>
              <w:t xml:space="preserve"> 2019年8月</w:t>
            </w:r>
            <w:r>
              <w:rPr>
                <w:rFonts w:hint="eastAsia"/>
                <w:lang w:val="en-US" w:eastAsia="zh-CN"/>
              </w:rPr>
              <w:t>10</w:t>
            </w:r>
            <w:r>
              <w:rPr>
                <w:rFonts w:hint="eastAsia"/>
              </w:rPr>
              <w:t>日</w:t>
            </w:r>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pStyle w:val="2"/>
            </w:pP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3"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p>
            <w:pPr>
              <w:jc w:val="center"/>
              <w:rPr>
                <w:rFonts w:ascii="宋体" w:hAnsi="宋体"/>
                <w:b/>
                <w:color w:val="000000" w:themeColor="text1"/>
                <w:sz w:val="20"/>
                <w:szCs w:val="20"/>
              </w:rPr>
            </w:pPr>
            <w:r>
              <w:rPr>
                <w:rFonts w:hint="eastAsia" w:ascii="宋体" w:hAnsi="宋体"/>
                <w:b/>
                <w:color w:val="000000" w:themeColor="text1"/>
                <w:sz w:val="20"/>
                <w:szCs w:val="20"/>
              </w:rPr>
              <w:t>综合部</w:t>
            </w:r>
          </w:p>
        </w:tc>
        <w:tc>
          <w:tcPr>
            <w:tcW w:w="6804" w:type="dxa"/>
          </w:tcPr>
          <w:p>
            <w:pPr>
              <w:ind w:firstLine="420" w:firstLineChars="200"/>
              <w:rPr>
                <w:rFonts w:ascii="宋体" w:hAnsi="宋体" w:cs="宋体"/>
                <w:szCs w:val="21"/>
              </w:rPr>
            </w:pPr>
            <w:r>
              <w:rPr>
                <w:rFonts w:hint="eastAsia" w:ascii="宋体" w:hAnsi="宋体" w:cs="宋体"/>
                <w:szCs w:val="21"/>
              </w:rPr>
              <w:t>人力资源管理过程</w:t>
            </w:r>
          </w:p>
          <w:p>
            <w:pPr>
              <w:ind w:firstLine="420" w:firstLineChars="200"/>
              <w:rPr>
                <w:rFonts w:ascii="宋体" w:hAnsi="宋体" w:cs="宋体"/>
                <w:szCs w:val="21"/>
              </w:rPr>
            </w:pPr>
            <w:r>
              <w:rPr>
                <w:rFonts w:hint="eastAsia" w:ascii="宋体" w:hAnsi="宋体" w:cs="宋体"/>
                <w:szCs w:val="21"/>
              </w:rPr>
              <w:t>资源提供与管理过程控制；</w:t>
            </w:r>
          </w:p>
          <w:p>
            <w:pPr>
              <w:ind w:firstLine="420" w:firstLineChars="200"/>
              <w:rPr>
                <w:rFonts w:ascii="宋体" w:hAnsi="宋体" w:cs="宋体"/>
                <w:szCs w:val="21"/>
              </w:rPr>
            </w:pPr>
            <w:r>
              <w:rPr>
                <w:rFonts w:hint="eastAsia" w:ascii="宋体" w:hAnsi="宋体" w:cs="宋体"/>
                <w:szCs w:val="21"/>
              </w:rPr>
              <w:t>内外部信息交流过程；</w:t>
            </w:r>
          </w:p>
          <w:p>
            <w:pPr>
              <w:ind w:firstLine="420" w:firstLineChars="200"/>
              <w:rPr>
                <w:rFonts w:ascii="宋体" w:hAnsi="宋体" w:cs="宋体"/>
                <w:szCs w:val="21"/>
              </w:rPr>
            </w:pPr>
            <w:r>
              <w:rPr>
                <w:rFonts w:hint="eastAsia" w:ascii="宋体" w:hAnsi="宋体" w:cs="宋体"/>
                <w:szCs w:val="21"/>
              </w:rPr>
              <w:t>环境、职业健康安全体系运行过程；</w:t>
            </w:r>
          </w:p>
          <w:p>
            <w:pPr>
              <w:ind w:firstLine="420" w:firstLineChars="200"/>
              <w:rPr>
                <w:rFonts w:ascii="宋体" w:hAnsi="宋体" w:cs="宋体"/>
                <w:szCs w:val="21"/>
              </w:rPr>
            </w:pPr>
            <w:r>
              <w:rPr>
                <w:rFonts w:hint="eastAsia" w:ascii="宋体" w:hAnsi="宋体" w:cs="宋体"/>
                <w:szCs w:val="21"/>
              </w:rPr>
              <w:t>负责绩效评价过程等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lang w:val="en-US" w:eastAsia="zh-CN"/>
              </w:rPr>
              <w:t>技术</w:t>
            </w:r>
            <w:r>
              <w:rPr>
                <w:rFonts w:hint="eastAsia" w:ascii="宋体" w:hAnsi="宋体"/>
                <w:b/>
                <w:color w:val="000000" w:themeColor="text1"/>
                <w:sz w:val="20"/>
                <w:szCs w:val="20"/>
              </w:rPr>
              <w:t>部</w:t>
            </w:r>
          </w:p>
        </w:tc>
        <w:tc>
          <w:tcPr>
            <w:tcW w:w="6804" w:type="dxa"/>
          </w:tcPr>
          <w:p>
            <w:pPr>
              <w:rPr>
                <w:rFonts w:hint="eastAsia"/>
                <w:color w:val="000000"/>
                <w:szCs w:val="21"/>
              </w:rPr>
            </w:pPr>
            <w:r>
              <w:rPr>
                <w:rFonts w:hint="eastAsia" w:ascii="宋体" w:hAnsi="宋体" w:cs="宋体"/>
                <w:szCs w:val="21"/>
              </w:rPr>
              <w:t>1.负责</w:t>
            </w:r>
            <w:r>
              <w:rPr>
                <w:rFonts w:hint="eastAsia" w:ascii="宋体" w:hAnsi="宋体"/>
                <w:szCs w:val="21"/>
              </w:rPr>
              <w:t>交通标牌、路牌、指路牌、标牌、标识、广告牌、公交候车亭；户外广告与LED显示屏设计、销售；金属制品（宣传栏、护栏护窗、不锈钢框）的销售</w:t>
            </w:r>
          </w:p>
          <w:p>
            <w:pPr>
              <w:rPr>
                <w:rFonts w:hint="eastAsia" w:ascii="宋体" w:hAnsi="宋体" w:cs="宋体"/>
                <w:szCs w:val="21"/>
              </w:rPr>
            </w:pPr>
            <w:r>
              <w:rPr>
                <w:rFonts w:hint="eastAsia" w:ascii="宋体" w:hAnsi="宋体"/>
                <w:szCs w:val="21"/>
                <w:lang w:val="en-US" w:eastAsia="zh-CN"/>
              </w:rPr>
              <w:t>实施</w:t>
            </w:r>
            <w:r>
              <w:rPr>
                <w:rFonts w:hint="eastAsia" w:ascii="宋体" w:hAnsi="宋体" w:cs="宋体"/>
                <w:szCs w:val="21"/>
              </w:rPr>
              <w:t>工作。</w:t>
            </w:r>
          </w:p>
          <w:p>
            <w:pPr>
              <w:rPr>
                <w:rFonts w:hint="eastAsia" w:ascii="宋体" w:hAnsi="宋体" w:cs="宋体"/>
                <w:szCs w:val="21"/>
              </w:rPr>
            </w:pPr>
            <w:r>
              <w:rPr>
                <w:rFonts w:hint="eastAsia" w:ascii="宋体" w:hAnsi="宋体" w:cs="宋体"/>
                <w:szCs w:val="21"/>
              </w:rPr>
              <w:t>2.负责组织对</w:t>
            </w:r>
            <w:r>
              <w:rPr>
                <w:rFonts w:hint="eastAsia" w:ascii="宋体" w:hAnsi="宋体"/>
                <w:szCs w:val="21"/>
              </w:rPr>
              <w:t>交通标牌、路牌、指路牌、标牌、标识、广告牌、公交候车亭；户外广告与LED显示屏设计、销售；金属制品（宣传栏、护栏护窗、不锈钢框）的销售项目管理</w:t>
            </w:r>
            <w:r>
              <w:rPr>
                <w:rFonts w:hint="eastAsia" w:ascii="宋体" w:hAnsi="宋体" w:cs="宋体"/>
                <w:szCs w:val="21"/>
              </w:rPr>
              <w:t>实现过程的策划、计划的编制，对项目实施管理、监督、检查和验收，对不合格品进行有效控制并制定合理处置方案；</w:t>
            </w:r>
          </w:p>
          <w:p>
            <w:pPr>
              <w:ind w:firstLine="420" w:firstLineChars="200"/>
              <w:rPr>
                <w:rFonts w:ascii="宋体" w:hAnsi="宋体" w:cs="宋体"/>
                <w:szCs w:val="21"/>
              </w:rPr>
            </w:pPr>
            <w:r>
              <w:rPr>
                <w:rFonts w:hint="eastAsia" w:ascii="宋体" w:hAnsi="宋体" w:cs="宋体"/>
                <w:szCs w:val="21"/>
              </w:rPr>
              <w:t>3.负责对本部门环境因素、职业健康安全风险的识别和评价，并确定重要环境因素、职业健康安全风险；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rPr>
              <w:t>职业健康安全事务代表</w:t>
            </w:r>
          </w:p>
        </w:tc>
        <w:tc>
          <w:tcPr>
            <w:tcW w:w="6804" w:type="dxa"/>
          </w:tcPr>
          <w:p>
            <w:pPr>
              <w:rPr>
                <w:rFonts w:ascii="宋体" w:hAnsi="宋体"/>
                <w:b/>
                <w:color w:val="000000" w:themeColor="text1"/>
                <w:spacing w:val="-20"/>
                <w:sz w:val="20"/>
                <w:szCs w:val="20"/>
                <w:u w:val="single"/>
              </w:rPr>
            </w:pPr>
            <w:r>
              <w:rPr>
                <w:rFonts w:hint="eastAsia" w:ascii="宋体" w:hAnsi="宋体"/>
                <w:color w:val="000000" w:themeColor="text1"/>
                <w:spacing w:val="-20"/>
                <w:sz w:val="20"/>
                <w:szCs w:val="20"/>
              </w:rPr>
              <w:t>与员工利益有关的管理活动。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Cs w:val="21"/>
              </w:rPr>
            </w:pPr>
            <w:r>
              <w:rPr>
                <w:rFonts w:hint="eastAsia" w:ascii="宋体" w:hAnsi="宋体"/>
                <w:b/>
                <w:color w:val="000000" w:themeColor="text1"/>
                <w:sz w:val="20"/>
                <w:szCs w:val="20"/>
              </w:rPr>
              <w:t>管理层</w:t>
            </w:r>
          </w:p>
        </w:tc>
        <w:tc>
          <w:tcPr>
            <w:tcW w:w="6804" w:type="dxa"/>
          </w:tcPr>
          <w:p>
            <w:pPr>
              <w:rPr>
                <w:rFonts w:ascii="宋体" w:hAnsi="宋体"/>
                <w:b/>
                <w:color w:val="000000" w:themeColor="text1"/>
                <w:spacing w:val="-20"/>
                <w:szCs w:val="21"/>
                <w:u w:val="single"/>
              </w:rPr>
            </w:pPr>
            <w:r>
              <w:rPr>
                <w:rFonts w:hint="eastAsia" w:ascii="宋体" w:hAnsi="宋体"/>
                <w:sz w:val="18"/>
                <w:szCs w:val="18"/>
              </w:rPr>
              <w:t>与管理层有关的管理活动</w:t>
            </w: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37" w:leftChars="-337" w:hanging="571" w:hangingChars="271"/>
        <w:rPr>
          <w:b/>
          <w:color w:val="000000" w:themeColor="text1"/>
          <w:szCs w:val="21"/>
          <w:u w:val="single"/>
        </w:rPr>
      </w:pPr>
    </w:p>
    <w:p>
      <w:pPr>
        <w:spacing w:line="360" w:lineRule="auto"/>
        <w:ind w:left="-137" w:leftChars="-337" w:hanging="571" w:hangingChars="271"/>
        <w:rPr>
          <w:b/>
          <w:color w:val="000000" w:themeColor="text1"/>
          <w:szCs w:val="21"/>
        </w:rPr>
      </w:pPr>
      <w:r>
        <w:rPr>
          <w:rFonts w:hint="eastAsia"/>
          <w:b/>
          <w:color w:val="000000" w:themeColor="text1"/>
          <w:szCs w:val="21"/>
        </w:rPr>
        <w:t>4. 本次审核覆盖时期：</w:t>
      </w:r>
    </w:p>
    <w:p>
      <w:pPr>
        <w:spacing w:line="360" w:lineRule="auto"/>
        <w:ind w:left="-191" w:leftChars="-337" w:hanging="517" w:hangingChars="271"/>
        <w:rPr>
          <w:b/>
          <w:color w:val="000000" w:themeColor="text1"/>
          <w:spacing w:val="-10"/>
          <w:szCs w:val="21"/>
        </w:rPr>
      </w:pPr>
      <w:r>
        <w:rPr>
          <w:rFonts w:hint="eastAsia" w:ascii="宋体" w:hAnsi="宋体" w:cs="宋体"/>
          <w:b/>
          <w:color w:val="000000" w:themeColor="text1"/>
          <w:spacing w:val="-10"/>
          <w:szCs w:val="21"/>
        </w:rPr>
        <w:t>█</w:t>
      </w:r>
      <w:r>
        <w:rPr>
          <w:rFonts w:hint="eastAsia"/>
          <w:b/>
          <w:color w:val="000000" w:themeColor="text1"/>
          <w:spacing w:val="-10"/>
          <w:szCs w:val="21"/>
        </w:rPr>
        <w:t>体系运行时间</w:t>
      </w:r>
      <w:r>
        <w:rPr>
          <w:rFonts w:hint="eastAsia"/>
          <w:b/>
          <w:color w:val="000000" w:themeColor="text1"/>
          <w:spacing w:val="-10"/>
          <w:szCs w:val="21"/>
          <w:u w:val="single"/>
        </w:rPr>
        <w:t xml:space="preserve">   2019     </w:t>
      </w:r>
      <w:r>
        <w:rPr>
          <w:rFonts w:hint="eastAsia"/>
          <w:b/>
          <w:color w:val="000000" w:themeColor="text1"/>
          <w:spacing w:val="-10"/>
          <w:szCs w:val="21"/>
        </w:rPr>
        <w:t>年</w:t>
      </w:r>
      <w:r>
        <w:rPr>
          <w:rFonts w:hint="eastAsia"/>
          <w:b/>
          <w:color w:val="000000" w:themeColor="text1"/>
          <w:spacing w:val="-10"/>
          <w:szCs w:val="21"/>
          <w:u w:val="single"/>
          <w:lang w:val="en-US" w:eastAsia="zh-CN"/>
        </w:rPr>
        <w:t>8</w:t>
      </w:r>
      <w:r>
        <w:rPr>
          <w:rFonts w:hint="eastAsia"/>
          <w:b/>
          <w:color w:val="000000" w:themeColor="text1"/>
          <w:spacing w:val="-10"/>
          <w:szCs w:val="21"/>
          <w:u w:val="single"/>
        </w:rPr>
        <w:t xml:space="preserve"> </w:t>
      </w:r>
      <w:r>
        <w:rPr>
          <w:rFonts w:hint="eastAsia"/>
          <w:b/>
          <w:color w:val="000000" w:themeColor="text1"/>
          <w:spacing w:val="-10"/>
          <w:szCs w:val="21"/>
        </w:rPr>
        <w:t>月</w:t>
      </w:r>
      <w:bookmarkStart w:id="5" w:name="OLE_LINK1"/>
      <w:r>
        <w:rPr>
          <w:rFonts w:hint="eastAsia"/>
          <w:b/>
          <w:color w:val="000000" w:themeColor="text1"/>
          <w:spacing w:val="-10"/>
          <w:szCs w:val="21"/>
          <w:u w:val="single"/>
        </w:rPr>
        <w:t xml:space="preserve">  1</w:t>
      </w:r>
      <w:r>
        <w:rPr>
          <w:rFonts w:hint="eastAsia"/>
          <w:b/>
          <w:color w:val="000000" w:themeColor="text1"/>
          <w:spacing w:val="-10"/>
          <w:szCs w:val="21"/>
          <w:u w:val="single"/>
          <w:lang w:val="en-US" w:eastAsia="zh-CN"/>
        </w:rPr>
        <w:t>0</w:t>
      </w:r>
      <w:r>
        <w:rPr>
          <w:rFonts w:hint="eastAsia"/>
          <w:b/>
          <w:color w:val="000000" w:themeColor="text1"/>
          <w:spacing w:val="-10"/>
          <w:szCs w:val="21"/>
          <w:u w:val="single"/>
        </w:rPr>
        <w:t xml:space="preserve"> </w:t>
      </w:r>
      <w:r>
        <w:rPr>
          <w:rFonts w:hint="eastAsia"/>
          <w:b/>
          <w:color w:val="000000" w:themeColor="text1"/>
          <w:spacing w:val="-10"/>
          <w:szCs w:val="21"/>
        </w:rPr>
        <w:t>日</w:t>
      </w:r>
      <w:bookmarkEnd w:id="5"/>
      <w:r>
        <w:rPr>
          <w:rFonts w:hint="eastAsia"/>
          <w:b/>
          <w:color w:val="000000" w:themeColor="text1"/>
          <w:spacing w:val="-10"/>
          <w:szCs w:val="21"/>
        </w:rPr>
        <w:t>至</w:t>
      </w:r>
      <w:r>
        <w:rPr>
          <w:rFonts w:hint="eastAsia"/>
          <w:b/>
          <w:color w:val="000000" w:themeColor="text1"/>
          <w:spacing w:val="-10"/>
          <w:szCs w:val="21"/>
          <w:u w:val="single"/>
        </w:rPr>
        <w:t xml:space="preserve">  20</w:t>
      </w:r>
      <w:r>
        <w:rPr>
          <w:rFonts w:hint="eastAsia"/>
          <w:b/>
          <w:color w:val="000000" w:themeColor="text1"/>
          <w:spacing w:val="-10"/>
          <w:szCs w:val="21"/>
          <w:u w:val="single"/>
          <w:lang w:val="en-US" w:eastAsia="zh-CN"/>
        </w:rPr>
        <w:t>20</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lang w:val="en-US" w:eastAsia="zh-CN"/>
        </w:rPr>
        <w:t>5</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26</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 xml:space="preserve">日至  </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5. 完成情况说明:</w:t>
      </w:r>
    </w:p>
    <w:p>
      <w:pPr>
        <w:spacing w:line="360" w:lineRule="auto"/>
        <w:ind w:left="-191" w:leftChars="-337" w:hanging="517" w:hangingChars="271"/>
        <w:rPr>
          <w:b/>
          <w:color w:val="000000" w:themeColor="text1"/>
          <w:spacing w:val="-10"/>
          <w:szCs w:val="21"/>
        </w:rPr>
      </w:pPr>
      <w:r>
        <w:rPr>
          <w:rFonts w:hint="eastAsia" w:ascii="宋体" w:hAnsi="宋体" w:cs="宋体"/>
          <w:b/>
          <w:color w:val="000000" w:themeColor="text1"/>
          <w:spacing w:val="-10"/>
          <w:szCs w:val="21"/>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pPr>
            <w:r>
              <w:t>1、</w:t>
            </w:r>
            <w:r>
              <w:rPr>
                <w:rFonts w:hint="eastAsia"/>
              </w:rPr>
              <w:t>组织及其环境的识别情况</w:t>
            </w:r>
          </w:p>
          <w:p>
            <w:pPr>
              <w:rPr>
                <w:rFonts w:hint="eastAsia" w:ascii="Times New Roman" w:hAnsi="Times New Roman" w:eastAsia="宋体" w:cs="Times New Roman"/>
                <w:bCs w:val="0"/>
                <w:spacing w:val="0"/>
                <w:kern w:val="2"/>
                <w:sz w:val="21"/>
                <w:szCs w:val="24"/>
                <w:lang w:val="en-US" w:eastAsia="zh-CN" w:bidi="ar-SA"/>
              </w:rPr>
            </w:pPr>
            <w:r>
              <w:rPr>
                <w:rStyle w:val="16"/>
                <w:rFonts w:hint="eastAsia" w:ascii="Arial" w:hAnsi="Arial" w:cs="Arial"/>
                <w:color w:val="333333"/>
                <w:szCs w:val="22"/>
                <w:shd w:val="clear" w:color="auto" w:fill="FFFFFF"/>
              </w:rPr>
              <w:t>任丘市申华标牌设计服务有限公司</w:t>
            </w:r>
            <w:r>
              <w:rPr>
                <w:rStyle w:val="16"/>
                <w:rFonts w:hint="eastAsia" w:ascii="Arial" w:hAnsi="Arial" w:cs="Arial"/>
                <w:color w:val="333333"/>
                <w:szCs w:val="22"/>
                <w:shd w:val="clear" w:color="auto" w:fill="FFFFFF"/>
                <w:lang w:eastAsia="zh-CN"/>
              </w:rPr>
              <w:t>，</w:t>
            </w:r>
            <w:r>
              <w:rPr>
                <w:rStyle w:val="16"/>
                <w:rFonts w:hint="eastAsia" w:ascii="Arial" w:hAnsi="Arial" w:cs="Arial"/>
                <w:color w:val="333333"/>
                <w:szCs w:val="22"/>
                <w:shd w:val="clear" w:color="auto" w:fill="FFFFFF"/>
              </w:rPr>
              <w:t>2013-12-09日成立，营业期限2013-12-09 至 2063-12-08限，注册资金：</w:t>
            </w:r>
            <w:r>
              <w:rPr>
                <w:rStyle w:val="16"/>
                <w:rFonts w:hint="eastAsia" w:ascii="Arial" w:hAnsi="Arial" w:cs="Arial"/>
                <w:color w:val="333333"/>
                <w:szCs w:val="22"/>
                <w:shd w:val="clear" w:color="auto" w:fill="FFFFFF"/>
                <w:lang w:val="en-US" w:eastAsia="zh-CN"/>
              </w:rPr>
              <w:t>2000</w:t>
            </w:r>
            <w:r>
              <w:rPr>
                <w:rStyle w:val="16"/>
                <w:rFonts w:hint="eastAsia" w:ascii="Arial" w:hAnsi="Arial" w:cs="Arial"/>
                <w:color w:val="333333"/>
                <w:szCs w:val="22"/>
                <w:shd w:val="clear" w:color="auto" w:fill="FFFFFF"/>
              </w:rPr>
              <w:t>万，企业信用代码：9113098208497475X8，注册地址：任丘市议论堡乡三杰村，</w:t>
            </w:r>
            <w:r>
              <w:rPr>
                <w:rStyle w:val="16"/>
                <w:rFonts w:hint="eastAsia" w:ascii="Arial" w:hAnsi="Arial" w:cs="Arial"/>
                <w:color w:val="333333"/>
                <w:szCs w:val="22"/>
                <w:shd w:val="clear" w:color="auto" w:fill="FFFFFF"/>
                <w:lang w:val="en-US" w:eastAsia="zh-CN"/>
              </w:rPr>
              <w:t>经营地址：</w:t>
            </w:r>
            <w:bookmarkStart w:id="6" w:name="生产地址"/>
            <w:r>
              <w:rPr>
                <w:rStyle w:val="16"/>
                <w:rFonts w:hint="eastAsia" w:ascii="Arial" w:hAnsi="Arial" w:cs="Arial"/>
                <w:color w:val="333333"/>
                <w:szCs w:val="22"/>
                <w:shd w:val="clear" w:color="auto" w:fill="FFFFFF"/>
              </w:rPr>
              <w:t>任丘市议论堡乡三杰村</w:t>
            </w:r>
            <w:bookmarkEnd w:id="6"/>
          </w:p>
          <w:p>
            <w:pPr>
              <w:pStyle w:val="2"/>
            </w:pPr>
            <w:r>
              <w:rPr>
                <w:rFonts w:hint="eastAsia" w:ascii="Times New Roman" w:hAnsi="Times New Roman" w:eastAsia="宋体" w:cs="Times New Roman"/>
                <w:bCs w:val="0"/>
                <w:spacing w:val="0"/>
                <w:kern w:val="2"/>
                <w:sz w:val="21"/>
                <w:szCs w:val="24"/>
                <w:lang w:val="en-US" w:eastAsia="zh-CN" w:bidi="ar-SA"/>
              </w:rPr>
              <w:t>内外部环境、相关方的需求，其对政策、质量法规、环境法规、职业健康安全法规、经济、行业趋势等信息通过行业协会、社会关系、政府网站等渠道获得，包括客户以及其他相关方的要求进行了识别，对于所面临的复杂情况，寻找企业的生存出路，但目前仅限于在市场中寻求供应关系，有任命管理人员1名，负责协调、办公事务等综合管理，提高管理水平，控制成本的重要性已引起了公司管理层的重视。通过贯标，最高管理者和管理层增加了风险意识，分析了公司所处的内外部环境，面临的风险和机遇，并制定应对风险和机遇的措施，由相应的部门进行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pPr>
            <w:r>
              <w:rPr>
                <w:rFonts w:hint="eastAsia"/>
              </w:rPr>
              <w:t>相关方需求和期望识别情况</w:t>
            </w:r>
          </w:p>
          <w:p>
            <w:r>
              <w:rPr>
                <w:rFonts w:hint="eastAsia"/>
              </w:rPr>
              <w:t>在公司运营过程中充分考虑相关方方面的期望或要求，识别的相关方有：顾客、最终用户或受益人、业主，股东、员工等。物业部门和相关职能部门通过日常例会、市场活动、</w:t>
            </w:r>
            <w:r>
              <w:rPr>
                <w:rFonts w:hint="eastAsia"/>
                <w:lang w:val="en-US" w:eastAsia="zh-CN"/>
              </w:rPr>
              <w:t>现场</w:t>
            </w:r>
            <w:r>
              <w:rPr>
                <w:rFonts w:hint="eastAsia"/>
              </w:rPr>
              <w:t>拜访、产品展销会、客户调查等多种渠道和方式方法随时了解相关方的需求和期望。做为公司经营风险分析和发展机遇的可利用资源。</w:t>
            </w:r>
          </w:p>
          <w:p>
            <w:r>
              <w:rPr>
                <w:rFonts w:hint="eastAsia"/>
              </w:rPr>
              <w:t>内外部环境要素识别与评估：在每年的管理评审前，由相关部门负责人进行识别并评估其适宜性。以便于持续满足相关方的需求和期望。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ascii="宋体" w:hAnsi="宋体" w:cs="宋体"/>
                <w:b/>
                <w:color w:val="000000" w:themeColor="text1"/>
                <w:spacing w:val="-10"/>
                <w:sz w:val="20"/>
                <w:szCs w:val="20"/>
              </w:rPr>
              <w:t>█</w:t>
            </w:r>
            <w:r>
              <w:rPr>
                <w:rFonts w:hint="eastAsia" w:ascii="宋体" w:hAnsi="宋体"/>
                <w:b/>
                <w:color w:val="000000" w:themeColor="text1"/>
                <w:sz w:val="20"/>
                <w:szCs w:val="20"/>
              </w:rPr>
              <w:t>质量/</w:t>
            </w:r>
            <w:r>
              <w:rPr>
                <w:rFonts w:hint="eastAsia" w:ascii="宋体" w:hAnsi="宋体" w:cs="宋体"/>
                <w:b/>
                <w:color w:val="000000" w:themeColor="text1"/>
                <w:spacing w:val="-10"/>
                <w:sz w:val="20"/>
                <w:szCs w:val="20"/>
              </w:rPr>
              <w:t>█</w:t>
            </w:r>
            <w:r>
              <w:rPr>
                <w:rFonts w:hint="eastAsia" w:ascii="宋体" w:hAnsi="宋体"/>
                <w:b/>
                <w:color w:val="000000" w:themeColor="text1"/>
                <w:sz w:val="20"/>
                <w:szCs w:val="20"/>
              </w:rPr>
              <w:t>环境/</w:t>
            </w:r>
            <w:r>
              <w:rPr>
                <w:rFonts w:hint="eastAsia" w:ascii="宋体" w:hAnsi="宋体" w:cs="宋体"/>
                <w:b/>
                <w:color w:val="000000" w:themeColor="text1"/>
                <w:spacing w:val="-10"/>
                <w:sz w:val="20"/>
                <w:szCs w:val="20"/>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480" w:lineRule="exact"/>
              <w:rPr>
                <w:rFonts w:ascii="楷体" w:hAnsi="楷体" w:eastAsia="楷体"/>
                <w:sz w:val="24"/>
              </w:rPr>
            </w:pPr>
            <w:r>
              <w:rPr>
                <w:rFonts w:hint="eastAsia" w:ascii="楷体" w:hAnsi="楷体" w:eastAsia="楷体"/>
                <w:sz w:val="24"/>
              </w:rPr>
              <w:t>公司的管理方针是：</w:t>
            </w:r>
          </w:p>
          <w:p>
            <w:pPr>
              <w:ind w:firstLine="632" w:firstLineChars="300"/>
              <w:rPr>
                <w:rFonts w:hint="eastAsia"/>
                <w:b/>
                <w:bCs/>
              </w:rPr>
            </w:pPr>
            <w:r>
              <w:rPr>
                <w:rFonts w:hint="eastAsia"/>
                <w:b/>
                <w:bCs/>
              </w:rPr>
              <w:t>守法诚信追求质量，预防污染保护环境；</w:t>
            </w:r>
          </w:p>
          <w:p>
            <w:pPr>
              <w:rPr>
                <w:rFonts w:hint="eastAsia"/>
                <w:b/>
                <w:bCs/>
              </w:rPr>
            </w:pPr>
            <w:r>
              <w:rPr>
                <w:rFonts w:hint="eastAsia"/>
                <w:b/>
                <w:bCs/>
              </w:rPr>
              <w:t xml:space="preserve">    </w:t>
            </w:r>
            <w:r>
              <w:rPr>
                <w:rFonts w:hint="eastAsia"/>
                <w:b/>
                <w:bCs/>
                <w:lang w:val="en-US" w:eastAsia="zh-CN"/>
              </w:rPr>
              <w:t xml:space="preserve"> </w:t>
            </w:r>
            <w:r>
              <w:rPr>
                <w:rFonts w:hint="eastAsia"/>
                <w:b/>
                <w:bCs/>
              </w:rPr>
              <w:t>关爱员工健康安全，持续改进追求卓越。</w:t>
            </w:r>
          </w:p>
          <w:p>
            <w:pPr>
              <w:pStyle w:val="2"/>
            </w:pPr>
            <w:r>
              <w:rPr>
                <w:rFonts w:hint="eastAsia"/>
                <w:color w:val="000000"/>
              </w:rPr>
              <w:t>通过管理手册的分发使全体员工理解方针，通过内审和管理评审保持方针的适宜性。</w:t>
            </w:r>
          </w:p>
          <w:p>
            <w:pPr>
              <w:spacing w:line="240" w:lineRule="exact"/>
              <w:ind w:left="199" w:leftChars="95"/>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pPr>
            <w:r>
              <w:rPr>
                <w:rFonts w:hint="eastAsia"/>
              </w:rPr>
              <w:t>风险识别与控制策划</w:t>
            </w:r>
          </w:p>
          <w:p>
            <w:r>
              <w:rPr>
                <w:rFonts w:hint="eastAsia"/>
              </w:rPr>
              <w:t>制定了《风险和机遇的应对控制程序》，明确风险和机遇事件的识别方法/途径、风险和机遇事件的评估方式、制定主要风险和机遇事件的应对措施的要求、评价这些措施有效性的方法。</w:t>
            </w:r>
          </w:p>
          <w:p>
            <w:pPr>
              <w:spacing w:line="240" w:lineRule="exact"/>
            </w:pPr>
            <w:r>
              <w:rPr>
                <w:rFonts w:hint="eastAsia"/>
              </w:rPr>
              <w:t>提供了“2019年度 SWOT经营环境分析及对策报告”，对影响公司经营和发展的各种因素（内外部环境、相关方要求等）进行分析，确定需要应对的风险和机遇</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rPr>
            </w:pPr>
            <w:r>
              <w:rPr>
                <w:rFonts w:hint="eastAsia" w:ascii="宋体" w:hAnsi="宋体"/>
                <w:b/>
                <w:color w:val="000000" w:themeColor="text1"/>
                <w:sz w:val="20"/>
                <w:szCs w:val="20"/>
              </w:rPr>
              <w:t>质量管理体系过程有：</w:t>
            </w:r>
          </w:p>
          <w:p>
            <w:pPr>
              <w:rPr>
                <w:rFonts w:hint="eastAsia"/>
                <w:color w:val="000000"/>
                <w:kern w:val="0"/>
              </w:rPr>
            </w:pPr>
            <w:r>
              <w:rPr>
                <w:rFonts w:hint="eastAsia"/>
                <w:color w:val="000000"/>
                <w:kern w:val="0"/>
              </w:rPr>
              <w:t>销售：客户接触----合同评审----签订合同-----客户付款------入帐------采购-----客户提货-----验收</w:t>
            </w:r>
          </w:p>
          <w:p>
            <w:pPr>
              <w:pStyle w:val="2"/>
              <w:rPr>
                <w:rFonts w:hint="eastAsia"/>
              </w:rPr>
            </w:pPr>
          </w:p>
          <w:p>
            <w:pPr>
              <w:rPr>
                <w:rFonts w:hint="eastAsia"/>
                <w:bCs/>
                <w:szCs w:val="22"/>
              </w:rPr>
            </w:pPr>
            <w:r>
              <w:rPr>
                <w:rFonts w:hint="eastAsia" w:hAnsi="宋体" w:cs="宋体"/>
                <w:b/>
                <w:kern w:val="0"/>
                <w:szCs w:val="21"/>
                <w:lang w:bidi="ar"/>
              </w:rPr>
              <w:t>标牌的设计流程：顾客沟通----合同评审----签订合同----客户支付预付款-----设计师设计图纸----交与客户审核---------确定图纸----根据图纸进行产品加工生产------产品验收</w:t>
            </w:r>
          </w:p>
          <w:p>
            <w:pPr>
              <w:pStyle w:val="2"/>
              <w:rPr>
                <w:rFonts w:hint="default"/>
                <w:lang w:val="en-US" w:eastAsia="zh-CN"/>
              </w:rPr>
            </w:pPr>
          </w:p>
          <w:p>
            <w:pPr>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w:t>
            </w:r>
            <w:r>
              <w:rPr>
                <w:rFonts w:hint="eastAsia" w:ascii="宋体" w:hAnsi="宋体"/>
                <w:szCs w:val="21"/>
              </w:rPr>
              <w:t>设计</w:t>
            </w:r>
            <w:r>
              <w:rPr>
                <w:rFonts w:hint="eastAsia" w:ascii="宋体" w:hAnsi="宋体"/>
                <w:szCs w:val="21"/>
                <w:lang w:val="en-US" w:eastAsia="zh-CN"/>
              </w:rPr>
              <w:t>过程</w:t>
            </w:r>
            <w:r>
              <w:rPr>
                <w:rFonts w:hint="eastAsia" w:ascii="宋体" w:hAnsi="宋体"/>
                <w:szCs w:val="21"/>
              </w:rPr>
              <w:t>；</w:t>
            </w:r>
          </w:p>
          <w:p>
            <w:pPr>
              <w:tabs>
                <w:tab w:val="left" w:pos="540"/>
              </w:tabs>
              <w:spacing w:line="300" w:lineRule="exact"/>
              <w:ind w:left="201" w:hanging="201" w:hangingChars="100"/>
              <w:rPr>
                <w:rFonts w:ascii="宋体" w:hAnsi="宋体"/>
                <w:b/>
                <w:color w:val="000000" w:themeColor="text1"/>
                <w:sz w:val="20"/>
                <w:szCs w:val="20"/>
              </w:rPr>
            </w:pPr>
            <w:r>
              <w:rPr>
                <w:rFonts w:hint="eastAsia" w:ascii="宋体" w:hAnsi="宋体"/>
                <w:b/>
                <w:color w:val="000000" w:themeColor="text1"/>
                <w:sz w:val="20"/>
                <w:szCs w:val="20"/>
              </w:rPr>
              <w:t xml:space="preserve">需要确认过程  </w:t>
            </w:r>
            <w:r>
              <w:rPr>
                <w:b/>
                <w:color w:val="000000" w:themeColor="text1"/>
                <w:sz w:val="20"/>
                <w:szCs w:val="20"/>
              </w:rPr>
              <w:pict>
                <v:shape id="_x0000_s1026" o:spid="_x0000_s1026" o:spt="32" type="#_x0000_t32" style="position:absolute;left:0pt;margin-left:157.9pt;margin-top:12.75pt;height:0pt;width:261.75pt;z-index:251673600;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1027" o:spid="_x0000_s1027" o:spt="32" type="#_x0000_t32" style="position:absolute;left:0pt;margin-left:55.15pt;margin-top:12.75pt;height:0pt;width:42pt;z-index:251672576;mso-width-relative:page;mso-height-relative:page;" o:connectortype="straight" filled="f" coordsize="21600,21600">
                  <v:path arrowok="t"/>
                  <v:fill on="f" focussize="0,0"/>
                  <v:stroke/>
                  <v:imagedata o:title=""/>
                  <o:lock v:ext="edit"/>
                </v:shape>
              </w:pict>
            </w:r>
            <w:r>
              <w:rPr>
                <w:rFonts w:hint="eastAsia" w:ascii="宋体" w:hAnsi="宋体"/>
                <w:szCs w:val="21"/>
                <w:lang w:val="en-US" w:eastAsia="zh-CN"/>
              </w:rPr>
              <w:t xml:space="preserve">销售过程 </w:t>
            </w:r>
            <w:r>
              <w:rPr>
                <w:rFonts w:hint="eastAsia" w:ascii="宋体" w:hAnsi="宋体"/>
                <w:b/>
                <w:color w:val="000000" w:themeColor="text1"/>
                <w:sz w:val="20"/>
                <w:szCs w:val="20"/>
              </w:rPr>
              <w:t xml:space="preserve">不适用条款是   </w:t>
            </w:r>
            <w:r>
              <w:rPr>
                <w:rFonts w:hint="eastAsia" w:ascii="宋体" w:hAnsi="宋体"/>
                <w:b/>
                <w:color w:val="000000" w:themeColor="text1"/>
                <w:sz w:val="20"/>
                <w:szCs w:val="20"/>
                <w:lang w:val="en-US" w:eastAsia="zh-CN"/>
              </w:rPr>
              <w:t>无</w:t>
            </w:r>
            <w:r>
              <w:rPr>
                <w:rFonts w:hint="eastAsia" w:ascii="宋体" w:hAnsi="宋体"/>
                <w:b/>
                <w:color w:val="000000" w:themeColor="text1"/>
                <w:sz w:val="20"/>
                <w:szCs w:val="20"/>
              </w:rPr>
              <w:t xml:space="preserve">    ，不适用理由：   </w:t>
            </w:r>
            <w:r>
              <w:rPr>
                <w:rFonts w:hint="eastAsia" w:ascii="宋体" w:hAnsi="宋体"/>
                <w:b/>
                <w:color w:val="000000" w:themeColor="text1"/>
                <w:sz w:val="20"/>
                <w:szCs w:val="20"/>
                <w:lang w:val="en-US" w:eastAsia="zh-CN"/>
              </w:rPr>
              <w:t>无</w:t>
            </w:r>
            <w:r>
              <w:rPr>
                <w:rFonts w:hint="eastAsia" w:ascii="宋体" w:hAnsi="宋体"/>
                <w:b/>
                <w:color w:val="000000" w:themeColor="text1"/>
                <w:sz w:val="20"/>
                <w:szCs w:val="20"/>
              </w:rPr>
              <w:t xml:space="preserve">                                               </w:t>
            </w:r>
          </w:p>
          <w:p>
            <w:pPr>
              <w:tabs>
                <w:tab w:val="left" w:pos="540"/>
              </w:tabs>
              <w:spacing w:line="300" w:lineRule="exact"/>
              <w:ind w:left="201" w:hanging="201" w:hangingChars="100"/>
              <w:rPr>
                <w:rFonts w:ascii="宋体" w:hAnsi="宋体"/>
                <w:b/>
                <w:color w:val="000000" w:themeColor="text1"/>
                <w:sz w:val="20"/>
                <w:szCs w:val="20"/>
              </w:rPr>
            </w:pPr>
          </w:p>
          <w:p>
            <w:pPr>
              <w:tabs>
                <w:tab w:val="left" w:pos="540"/>
              </w:tabs>
              <w:spacing w:line="300" w:lineRule="exact"/>
              <w:ind w:left="211" w:hanging="211" w:hangingChars="100"/>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rPr>
                <w:rFonts w:hint="eastAsia"/>
                <w:szCs w:val="21"/>
              </w:rPr>
            </w:pPr>
            <w:r>
              <w:rPr>
                <w:rFonts w:hint="eastAsia"/>
                <w:szCs w:val="21"/>
              </w:rPr>
              <w:t xml:space="preserve">6. EMS环境因素/ </w:t>
            </w:r>
          </w:p>
          <w:p>
            <w:pPr>
              <w:rPr>
                <w:rFonts w:hint="eastAsia"/>
                <w:szCs w:val="21"/>
              </w:rPr>
            </w:pPr>
            <w:r>
              <w:rPr>
                <w:rFonts w:hint="eastAsia"/>
                <w:szCs w:val="21"/>
              </w:rPr>
              <w:t>（环境因素辨识是否充分、重要环境因素评价合理性，以及环境因素动态变更的及时性等）</w:t>
            </w:r>
          </w:p>
          <w:p>
            <w:pPr>
              <w:rPr>
                <w:rFonts w:hint="eastAsia"/>
                <w:szCs w:val="21"/>
              </w:rPr>
            </w:pPr>
            <w:r>
              <w:rPr>
                <w:rFonts w:hint="eastAsia"/>
                <w:szCs w:val="21"/>
              </w:rPr>
              <w:t>编制了《环境因素的识别与评价控制程序》符合标准要求.</w:t>
            </w:r>
          </w:p>
          <w:p>
            <w:pPr>
              <w:rPr>
                <w:rFonts w:hint="eastAsia"/>
                <w:szCs w:val="21"/>
              </w:rPr>
            </w:pPr>
            <w:r>
              <w:rPr>
                <w:rFonts w:hint="eastAsia"/>
                <w:szCs w:val="21"/>
              </w:rPr>
              <w:t>提供的“环境因素识别评价表”“重要环境因素清单”， 评价考虑了三种时态现在、过去、将来、三种状态、异常、正常、紧急考虑了法律法规，并进行了评价，针对</w:t>
            </w:r>
            <w:r>
              <w:rPr>
                <w:rFonts w:hint="eastAsia"/>
                <w:szCs w:val="21"/>
                <w:lang w:val="en-US" w:eastAsia="zh-CN"/>
              </w:rPr>
              <w:t>设计、销售</w:t>
            </w:r>
            <w:r>
              <w:rPr>
                <w:rFonts w:hint="eastAsia"/>
                <w:szCs w:val="21"/>
              </w:rPr>
              <w:t>管理过程，用打分法考虑了法规符合性、发生频次、影响范围等, 通过定性判断法，共识别出重大环境因素</w:t>
            </w:r>
            <w:r>
              <w:rPr>
                <w:rFonts w:hint="eastAsia"/>
                <w:szCs w:val="21"/>
                <w:lang w:val="en-US" w:eastAsia="zh-CN"/>
              </w:rPr>
              <w:t>2</w:t>
            </w:r>
            <w:r>
              <w:rPr>
                <w:rFonts w:hint="eastAsia"/>
                <w:szCs w:val="21"/>
              </w:rPr>
              <w:t>项：固废排放</w:t>
            </w:r>
            <w:r>
              <w:rPr>
                <w:rFonts w:hint="eastAsia"/>
                <w:szCs w:val="21"/>
                <w:lang w:eastAsia="zh-CN"/>
              </w:rPr>
              <w:t>、</w:t>
            </w:r>
            <w:r>
              <w:rPr>
                <w:rFonts w:hint="eastAsia"/>
                <w:szCs w:val="21"/>
                <w:lang w:val="en-US" w:eastAsia="zh-CN"/>
              </w:rPr>
              <w:t>火灾</w:t>
            </w:r>
            <w:r>
              <w:rPr>
                <w:rFonts w:hint="eastAsia"/>
                <w:szCs w:val="21"/>
              </w:rPr>
              <w:t>，评价符合程序要求及公司的实际情况。</w:t>
            </w:r>
          </w:p>
          <w:p>
            <w:pPr>
              <w:rPr>
                <w:rFonts w:hint="eastAsia"/>
                <w:szCs w:val="21"/>
              </w:rPr>
            </w:pPr>
            <w:r>
              <w:rPr>
                <w:rFonts w:hint="eastAsia"/>
                <w:szCs w:val="21"/>
              </w:rPr>
              <w:t>根据组织经营性质，识别了各部门和场所的环境因素，并对环境因素进行了评价，评价出了重要环境因素，识别基本齐全无遗漏；评价合理。基本了解评价动态变更的及时性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rPr>
                <w:rFonts w:hint="eastAsia"/>
                <w:szCs w:val="21"/>
              </w:rPr>
            </w:pPr>
            <w:r>
              <w:rPr>
                <w:rFonts w:hint="eastAsia"/>
                <w:szCs w:val="21"/>
              </w:rPr>
              <w:t>7. OHSMS职业健康安全危险源</w:t>
            </w:r>
          </w:p>
          <w:p>
            <w:pPr>
              <w:rPr>
                <w:rFonts w:hint="eastAsia"/>
                <w:szCs w:val="21"/>
              </w:rPr>
            </w:pPr>
            <w:r>
              <w:rPr>
                <w:rFonts w:hint="eastAsia"/>
                <w:szCs w:val="21"/>
              </w:rPr>
              <w:t>（职业健康安全危险源辨识是否充分、风险评价合理性，以及风险评价动态变更的及时性等）</w:t>
            </w:r>
          </w:p>
          <w:p>
            <w:pPr>
              <w:rPr>
                <w:rFonts w:hint="eastAsia"/>
                <w:szCs w:val="21"/>
              </w:rPr>
            </w:pPr>
            <w:r>
              <w:rPr>
                <w:rFonts w:hint="eastAsia"/>
                <w:szCs w:val="21"/>
              </w:rPr>
              <w:t>编制《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rPr>
                <w:rFonts w:hint="eastAsia"/>
                <w:szCs w:val="21"/>
              </w:rPr>
            </w:pPr>
            <w:r>
              <w:rPr>
                <w:rFonts w:hint="eastAsia"/>
                <w:szCs w:val="21"/>
              </w:rPr>
              <w:t>提供的：“危险源识别与风险评价表”“不可接受风险源清单”， 评价考虑了将来、状态、可能导致的事件，并进行了评价，用打分法考虑了法规符合性、发生频次、影响范围等, 通过是非法，共识别出不可接受风险</w:t>
            </w:r>
            <w:r>
              <w:rPr>
                <w:rFonts w:hint="eastAsia"/>
                <w:szCs w:val="21"/>
                <w:lang w:val="en-US" w:eastAsia="zh-CN"/>
              </w:rPr>
              <w:t>3</w:t>
            </w:r>
            <w:r>
              <w:rPr>
                <w:rFonts w:hint="eastAsia"/>
                <w:szCs w:val="21"/>
              </w:rPr>
              <w:t>项，涉及：火灾、触电、意外伤害，评价符合程序要求及公司的实际情况。对危险源的控制措施包括制定管理制度、监督检查、应急预案、培训等。</w:t>
            </w:r>
          </w:p>
          <w:p>
            <w:pPr>
              <w:rPr>
                <w:rFonts w:hint="eastAsia"/>
                <w:szCs w:val="21"/>
              </w:rPr>
            </w:pPr>
            <w:r>
              <w:rPr>
                <w:rFonts w:hint="eastAsia"/>
                <w:szCs w:val="21"/>
              </w:rPr>
              <w:t>根据组织经营性质，识别了各部门和场所的危险源，并对危险源进行了评价，评价出不可接受风险，识别基本齐全无遗漏；评价合理。基本了解评价动态变更的及时性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获取法律法规100项，■法律法规获取充分，□法律法规获取有遗漏，缺少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5"/>
              <w:numPr>
                <w:ilvl w:val="0"/>
                <w:numId w:val="3"/>
              </w:numPr>
              <w:tabs>
                <w:tab w:val="left" w:pos="540"/>
              </w:tabs>
              <w:spacing w:line="300" w:lineRule="exact"/>
              <w:ind w:firstLineChars="0"/>
              <w:rPr>
                <w:rFonts w:ascii="宋体" w:hAnsi="宋体"/>
                <w:szCs w:val="21"/>
              </w:rPr>
            </w:pPr>
            <w:r>
              <w:rPr>
                <w:rFonts w:hint="eastAsia" w:ascii="宋体" w:hAnsi="宋体"/>
                <w:b/>
                <w:color w:val="000000" w:themeColor="text1"/>
                <w:szCs w:val="21"/>
              </w:rPr>
              <w:t>法律法规的宣传方式：</w:t>
            </w:r>
            <w:r>
              <w:rPr>
                <w:rFonts w:hint="eastAsia" w:ascii="宋体" w:hAnsi="宋体"/>
                <w:szCs w:val="21"/>
              </w:rPr>
              <w:t>进行发放纸质文件、电子文件的形式</w:t>
            </w:r>
          </w:p>
          <w:p>
            <w:pPr>
              <w:pStyle w:val="15"/>
              <w:numPr>
                <w:ilvl w:val="0"/>
                <w:numId w:val="3"/>
              </w:numPr>
              <w:tabs>
                <w:tab w:val="left" w:pos="540"/>
              </w:tabs>
              <w:spacing w:line="300" w:lineRule="exact"/>
              <w:ind w:firstLineChars="0"/>
              <w:rPr>
                <w:rFonts w:ascii="宋体" w:hAnsi="宋体"/>
                <w:b/>
                <w:szCs w:val="21"/>
              </w:rPr>
            </w:pPr>
            <w:r>
              <w:rPr>
                <w:rFonts w:hint="eastAsia" w:ascii="宋体" w:hAnsi="宋体"/>
                <w:b/>
                <w:color w:val="000000" w:themeColor="text1"/>
                <w:szCs w:val="21"/>
              </w:rPr>
              <w:t>法律法规要求及时更新了</w:t>
            </w:r>
            <w:r>
              <w:rPr>
                <w:rFonts w:hint="eastAsia" w:ascii="宋体" w:hAnsi="宋体"/>
                <w:szCs w:val="21"/>
              </w:rPr>
              <w:t>每年一次</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pStyle w:val="2"/>
            </w:pPr>
          </w:p>
          <w:p>
            <w:pPr>
              <w:spacing w:line="240" w:lineRule="exact"/>
              <w:ind w:firstLine="420" w:firstLineChars="200"/>
              <w:rPr>
                <w:rFonts w:ascii="宋体" w:hAnsi="宋体"/>
                <w:b/>
                <w:color w:val="000000" w:themeColor="text1"/>
              </w:rPr>
            </w:pPr>
            <w:r>
              <w:rPr>
                <w:rFonts w:hint="eastAsia"/>
                <w:bCs/>
                <w:szCs w:val="21"/>
              </w:rPr>
              <w:t>在组织各职能和层次上建立了管理目标指标，并制定了相应控制方案。基本适宜公司特点。目标具有可测量性，对目标完成情况进行了考核。对制订的管理方案实施情况定期进行检查。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pPr>
            <w:r>
              <w:rPr>
                <w:rFonts w:hint="eastAsia"/>
              </w:rPr>
              <w:t>6. 文件与记录控制 (文审修订后文件与标准的符合程度评价、文件控制管理等)</w:t>
            </w:r>
          </w:p>
          <w:p>
            <w:pPr>
              <w:tabs>
                <w:tab w:val="left" w:pos="540"/>
              </w:tabs>
              <w:spacing w:line="240" w:lineRule="exact"/>
            </w:pPr>
          </w:p>
          <w:p>
            <w:pPr>
              <w:pStyle w:val="2"/>
            </w:pPr>
            <w:r>
              <w:rPr>
                <w:rFonts w:hint="eastAsia"/>
                <w:szCs w:val="21"/>
              </w:rPr>
              <w:t>文审符合标准要求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rFonts w:ascii="宋体" w:hAnsi="宋体"/>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pStyle w:val="2"/>
            </w:pPr>
          </w:p>
          <w:p>
            <w:pPr>
              <w:rPr>
                <w:rFonts w:ascii="宋体" w:hAnsi="宋体"/>
                <w:b/>
                <w:color w:val="000000" w:themeColor="text1"/>
                <w:sz w:val="20"/>
                <w:szCs w:val="20"/>
              </w:rPr>
            </w:pPr>
            <w:r>
              <w:rPr>
                <w:rFonts w:hint="eastAsia"/>
                <w:bCs/>
                <w:szCs w:val="21"/>
              </w:rPr>
              <w:t>该公司员工共</w:t>
            </w:r>
            <w:r>
              <w:rPr>
                <w:rFonts w:hint="eastAsia"/>
                <w:bCs/>
                <w:szCs w:val="21"/>
                <w:lang w:val="en-US" w:eastAsia="zh-CN"/>
              </w:rPr>
              <w:t>10</w:t>
            </w:r>
            <w:r>
              <w:rPr>
                <w:rFonts w:hint="eastAsia"/>
                <w:bCs/>
                <w:szCs w:val="21"/>
              </w:rPr>
              <w:t>人，管理人</w:t>
            </w:r>
            <w:r>
              <w:rPr>
                <w:rFonts w:hint="eastAsia"/>
                <w:bCs/>
                <w:szCs w:val="21"/>
                <w:lang w:val="en-US" w:eastAsia="zh-CN"/>
              </w:rPr>
              <w:t>3</w:t>
            </w:r>
            <w:r>
              <w:rPr>
                <w:rFonts w:hint="eastAsia"/>
                <w:bCs/>
                <w:szCs w:val="21"/>
              </w:rPr>
              <w:t>人。有专业的</w:t>
            </w:r>
            <w:r>
              <w:rPr>
                <w:rFonts w:hint="eastAsia" w:ascii="宋体" w:hAnsi="宋体"/>
                <w:szCs w:val="21"/>
              </w:rPr>
              <w:t>设计</w:t>
            </w:r>
            <w:r>
              <w:rPr>
                <w:rFonts w:hint="eastAsia" w:ascii="宋体" w:hAnsi="宋体"/>
                <w:szCs w:val="21"/>
                <w:lang w:val="en-US" w:eastAsia="zh-CN"/>
              </w:rPr>
              <w:t>人员、销售</w:t>
            </w:r>
            <w:r>
              <w:rPr>
                <w:rFonts w:hint="eastAsia"/>
                <w:bCs/>
                <w:szCs w:val="21"/>
              </w:rPr>
              <w:t>人员，能满足</w:t>
            </w:r>
            <w:r>
              <w:rPr>
                <w:rFonts w:hint="eastAsia" w:ascii="宋体" w:hAnsi="宋体"/>
                <w:b/>
                <w:bCs/>
                <w:color w:val="auto"/>
                <w:szCs w:val="21"/>
              </w:rPr>
              <w:t>交通标牌、路牌、指路牌、标牌、标识、广告牌、公交候车亭；户外广告与LED显示屏设计、销售；金属制品（宣传栏、护栏护窗、不锈钢框）的销售</w:t>
            </w:r>
            <w:r>
              <w:rPr>
                <w:rFonts w:hint="eastAsia"/>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rPr>
                <w:rStyle w:val="16"/>
                <w:rFonts w:ascii="Arial" w:hAnsi="Arial" w:cs="Arial"/>
                <w:color w:val="333333"/>
                <w:shd w:val="clear" w:color="auto" w:fill="FFFFFF"/>
              </w:rPr>
            </w:pPr>
            <w:r>
              <w:rPr>
                <w:rStyle w:val="16"/>
                <w:rFonts w:hint="eastAsia" w:ascii="Arial" w:hAnsi="Arial" w:cs="Arial"/>
                <w:color w:val="333333"/>
                <w:shd w:val="clear" w:color="auto" w:fill="FFFFFF"/>
              </w:rPr>
              <w:t>办公设备：电脑、电话、打印机</w:t>
            </w:r>
            <w:r>
              <w:rPr>
                <w:rStyle w:val="16"/>
                <w:rFonts w:hint="eastAsia" w:ascii="Arial" w:hAnsi="Arial" w:cs="Arial"/>
                <w:color w:val="333333"/>
                <w:shd w:val="clear" w:color="auto" w:fill="FFFFFF"/>
                <w:lang w:eastAsia="zh-CN"/>
              </w:rPr>
              <w:t>、</w:t>
            </w:r>
            <w:r>
              <w:rPr>
                <w:rStyle w:val="16"/>
                <w:rFonts w:hint="eastAsia" w:ascii="Arial" w:hAnsi="Arial" w:cs="Arial"/>
                <w:color w:val="333333"/>
                <w:shd w:val="clear" w:color="auto" w:fill="FFFFFF"/>
                <w:lang w:val="en-US" w:eastAsia="zh-CN"/>
              </w:rPr>
              <w:t>CAD设计软件</w:t>
            </w:r>
            <w:r>
              <w:rPr>
                <w:rStyle w:val="16"/>
                <w:rFonts w:hint="eastAsia" w:ascii="Arial" w:hAnsi="Arial" w:cs="Arial"/>
                <w:color w:val="333333"/>
                <w:shd w:val="clear" w:color="auto" w:fill="FFFFFF"/>
              </w:rPr>
              <w:t>等</w:t>
            </w:r>
          </w:p>
          <w:p>
            <w:pPr>
              <w:pStyle w:val="2"/>
              <w:rPr>
                <w:rStyle w:val="16"/>
                <w:rFonts w:ascii="Arial" w:hAnsi="Arial" w:cs="Arial"/>
                <w:bCs w:val="0"/>
                <w:color w:val="333333"/>
                <w:spacing w:val="0"/>
                <w:shd w:val="clear" w:color="auto" w:fill="FFFFFF"/>
              </w:rPr>
            </w:pPr>
            <w:r>
              <w:rPr>
                <w:rStyle w:val="16"/>
                <w:rFonts w:hint="eastAsia" w:ascii="Arial" w:hAnsi="Arial" w:cs="Arial"/>
                <w:bCs w:val="0"/>
                <w:color w:val="333333"/>
                <w:spacing w:val="0"/>
                <w:shd w:val="clear" w:color="auto" w:fill="FFFFFF"/>
              </w:rPr>
              <w:t>环保设备：垃圾桶、灭火器</w:t>
            </w:r>
          </w:p>
          <w:p>
            <w:pPr>
              <w:pStyle w:val="2"/>
              <w:rPr>
                <w:rStyle w:val="16"/>
                <w:rFonts w:ascii="Arial" w:hAnsi="Arial" w:cs="Arial"/>
                <w:bCs w:val="0"/>
                <w:color w:val="333333"/>
                <w:spacing w:val="0"/>
                <w:shd w:val="clear" w:color="auto" w:fill="FFFFFF"/>
              </w:rPr>
            </w:pPr>
            <w:r>
              <w:rPr>
                <w:rStyle w:val="16"/>
                <w:rFonts w:hint="eastAsia" w:ascii="Arial" w:hAnsi="Arial" w:cs="Arial"/>
                <w:bCs w:val="0"/>
                <w:color w:val="333333"/>
                <w:spacing w:val="0"/>
                <w:shd w:val="clear" w:color="auto" w:fill="FFFFFF"/>
              </w:rPr>
              <w:t>消防设施：消防栓、灭火器、应急灯等</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r>
              <w:rPr>
                <w:rFonts w:hint="eastAsia"/>
                <w:color w:val="0000FF"/>
                <w:lang w:val="en-US" w:eastAsia="zh-CN"/>
              </w:rPr>
              <w:t>远程</w:t>
            </w:r>
            <w:r>
              <w:rPr>
                <w:rFonts w:hint="eastAsia"/>
              </w:rPr>
              <w:t>观察办公区域环境卫生管理，工作场所布局合理，温湿度适宜，照明良好，满足办公需求。</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p>
          <w:p>
            <w:pPr>
              <w:spacing w:line="240" w:lineRule="exact"/>
              <w:rPr>
                <w:rFonts w:ascii="宋体" w:hAnsi="宋体"/>
                <w:b/>
                <w:color w:val="000000" w:themeColor="text1"/>
                <w:sz w:val="20"/>
                <w:szCs w:val="20"/>
              </w:rPr>
            </w:pPr>
            <w:r>
              <w:rPr>
                <w:rFonts w:hint="eastAsia"/>
              </w:rPr>
              <w:t>编制有检查记录，能不定期对服务进行检查。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r>
              <w:rPr>
                <w:rFonts w:hint="eastAsia"/>
              </w:rPr>
              <w:t>公司确定运行过程所需的知识，内部来源包括公司运作准则（管理制度、工作记录等）等。外部来源包括外来资料如认证标准、法律法规、市场信息等。</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ascii="宋体" w:hAnsi="宋体"/>
                <w:color w:val="000000" w:themeColor="text1"/>
                <w:sz w:val="20"/>
                <w:szCs w:val="20"/>
              </w:rPr>
            </w:pPr>
            <w:r>
              <w:rPr>
                <w:rFonts w:hint="eastAsia"/>
              </w:rPr>
              <w:t>配备有消防栓、灭火器等环保设施。</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b/>
                <w:bCs/>
              </w:rPr>
            </w:pPr>
            <w:r>
              <w:rPr>
                <w:rFonts w:hint="eastAsia"/>
                <w:b/>
                <w:bCs/>
              </w:rPr>
              <w:t>职业健康安全设施：</w:t>
            </w:r>
          </w:p>
          <w:p>
            <w:pPr>
              <w:spacing w:line="240" w:lineRule="exact"/>
            </w:pPr>
            <w:r>
              <w:rPr>
                <w:rFonts w:hint="eastAsia"/>
              </w:rPr>
              <w:t>配备有灭火器等环保设施。</w:t>
            </w:r>
          </w:p>
          <w:p>
            <w:pPr>
              <w:pStyle w:val="2"/>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bCs/>
              </w:rPr>
            </w:pPr>
            <w:r>
              <w:rPr>
                <w:rFonts w:hint="eastAsia"/>
                <w:b/>
                <w:bCs/>
              </w:rPr>
              <w:t>1. 针对方针的管理职责评审</w:t>
            </w:r>
          </w:p>
          <w:p>
            <w:pPr>
              <w:spacing w:line="300" w:lineRule="exact"/>
              <w:ind w:left="1"/>
              <w:rPr>
                <w:b/>
                <w:bCs/>
              </w:rPr>
            </w:pPr>
            <w:r>
              <w:rPr>
                <w:rFonts w:hint="eastAsia"/>
                <w:b/>
                <w:bCs/>
              </w:rPr>
              <w:t>（包括针对组织宗旨，制定相关管理方针政策、确保方针为员工理解并在运营中实施，监视方针的实施并评审方针的适宜性）</w:t>
            </w:r>
          </w:p>
          <w:p>
            <w:pPr>
              <w:pStyle w:val="2"/>
              <w:rPr>
                <w:b/>
                <w:color w:val="000000" w:themeColor="text1"/>
                <w:sz w:val="20"/>
                <w:szCs w:val="20"/>
              </w:rPr>
            </w:pPr>
          </w:p>
          <w:p>
            <w:pPr>
              <w:spacing w:line="300" w:lineRule="exact"/>
              <w:ind w:left="1"/>
              <w:rPr>
                <w:b/>
                <w:color w:val="000000" w:themeColor="text1"/>
                <w:sz w:val="20"/>
                <w:szCs w:val="20"/>
              </w:rPr>
            </w:pPr>
            <w:r>
              <w:rPr>
                <w:rFonts w:hint="eastAsia"/>
                <w:bCs/>
                <w:szCs w:val="21"/>
              </w:rPr>
              <w:t>制定的方针符合组织宗旨，对方针进行宣传和传达学习，可以确保方针为员工理解。在管理评审中对方针进行了评价，目前基本适宜。</w:t>
            </w:r>
          </w:p>
          <w:p>
            <w:pPr>
              <w:pStyle w:val="2"/>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bCs/>
                <w:szCs w:val="21"/>
              </w:rPr>
            </w:pPr>
            <w:r>
              <w:rPr>
                <w:rFonts w:hint="eastAsia" w:ascii="楷体_GB2312" w:eastAsia="楷体_GB2312"/>
                <w:b/>
                <w:szCs w:val="21"/>
              </w:rPr>
              <w:t>组织对外联络，关注顾客的感受情况（QMS）：</w:t>
            </w:r>
            <w:r>
              <w:rPr>
                <w:rFonts w:hint="eastAsia"/>
                <w:bCs/>
                <w:szCs w:val="21"/>
              </w:rPr>
              <w:t>顾客满意度调查表的发放、电话回访、到顾客现场进行询问、相关方告知书等形式</w:t>
            </w:r>
          </w:p>
          <w:p>
            <w:pPr>
              <w:spacing w:line="240" w:lineRule="exact"/>
              <w:rPr>
                <w:bCs/>
                <w:szCs w:val="21"/>
              </w:rPr>
            </w:pPr>
          </w:p>
          <w:p>
            <w:pPr>
              <w:spacing w:line="240" w:lineRule="exact"/>
              <w:rPr>
                <w:rFonts w:ascii="楷体_GB2312" w:eastAsia="楷体_GB2312"/>
                <w:b/>
                <w:szCs w:val="21"/>
              </w:rPr>
            </w:pPr>
            <w:r>
              <w:rPr>
                <w:rFonts w:hint="eastAsia" w:ascii="楷体_GB2312" w:eastAsia="楷体_GB2312"/>
                <w:b/>
                <w:szCs w:val="21"/>
              </w:rPr>
              <w:t>外部信息的接收、成文并答复的情况（E、S填写）：</w:t>
            </w:r>
            <w:r>
              <w:rPr>
                <w:rFonts w:hint="eastAsia"/>
                <w:bCs/>
                <w:szCs w:val="21"/>
              </w:rPr>
              <w:t>进行接收、答复，但未进行记录</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重要环境因素信息对外交流情况（EMS填写）：</w:t>
            </w:r>
            <w:r>
              <w:rPr>
                <w:rFonts w:hint="eastAsia"/>
                <w:bCs/>
                <w:szCs w:val="21"/>
              </w:rPr>
              <w:t>对相关方进行了书面告知，见到相关方告知书。内容符合标准要求</w:t>
            </w:r>
          </w:p>
          <w:p>
            <w:pPr>
              <w:spacing w:line="240" w:lineRule="exact"/>
              <w:rPr>
                <w:rFonts w:ascii="楷体_GB2312" w:eastAsia="楷体_GB2312"/>
                <w:b/>
                <w:szCs w:val="21"/>
              </w:rPr>
            </w:pPr>
          </w:p>
          <w:p>
            <w:pPr>
              <w:spacing w:line="240" w:lineRule="exact"/>
              <w:rPr>
                <w:bCs/>
                <w:szCs w:val="21"/>
              </w:rPr>
            </w:pPr>
            <w:r>
              <w:rPr>
                <w:rFonts w:hint="eastAsia" w:ascii="楷体_GB2312" w:eastAsia="楷体_GB2312"/>
                <w:b/>
                <w:szCs w:val="21"/>
              </w:rPr>
              <w:t>OHSMS事务代表协商和交流的情况（OHSMS填写）：</w:t>
            </w:r>
            <w:r>
              <w:rPr>
                <w:rFonts w:hint="eastAsia"/>
                <w:bCs/>
                <w:szCs w:val="21"/>
              </w:rPr>
              <w:t>，参与了体系文件的制定，每年召开一次员工代表会议。但未保留记录</w:t>
            </w:r>
          </w:p>
          <w:p>
            <w:pPr>
              <w:spacing w:line="240" w:lineRule="exact"/>
              <w:rPr>
                <w:rFonts w:ascii="楷体_GB2312" w:eastAsia="楷体_GB2312"/>
                <w:b/>
                <w:szCs w:val="21"/>
              </w:rPr>
            </w:pPr>
          </w:p>
          <w:p>
            <w:pPr>
              <w:spacing w:line="240" w:lineRule="exact"/>
              <w:rPr>
                <w:rFonts w:ascii="楷体_GB2312" w:eastAsia="楷体_GB2312"/>
                <w:b/>
                <w:color w:val="000000" w:themeColor="text1"/>
                <w:szCs w:val="21"/>
              </w:rPr>
            </w:pPr>
            <w:r>
              <w:rPr>
                <w:rFonts w:hint="eastAsia" w:ascii="楷体_GB2312" w:eastAsia="楷体_GB2312"/>
                <w:b/>
                <w:szCs w:val="21"/>
              </w:rPr>
              <w:t>与相关方协商的情况（OHSMS填写）：</w:t>
            </w:r>
            <w:r>
              <w:rPr>
                <w:rFonts w:hint="eastAsia"/>
                <w:bCs/>
                <w:szCs w:val="21"/>
              </w:rPr>
              <w:t>对相关方进行了书面告知，见到相关方告知书。内容符合标准要求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rPr>
                <w:rFonts w:hint="default" w:eastAsia="宋体"/>
                <w:lang w:val="en-US" w:eastAsia="zh-CN"/>
              </w:rPr>
            </w:pPr>
            <w:r>
              <w:rPr>
                <w:rFonts w:hint="eastAsia"/>
                <w:lang w:val="en-US" w:eastAsia="zh-CN"/>
              </w:rPr>
              <w:t>需确认过程有：</w:t>
            </w:r>
            <w:r>
              <w:rPr>
                <w:rFonts w:hint="eastAsia" w:ascii="宋体" w:hAnsi="宋体"/>
                <w:szCs w:val="21"/>
                <w:lang w:val="en-US" w:eastAsia="zh-CN"/>
              </w:rPr>
              <w:t>销售过程</w:t>
            </w:r>
          </w:p>
          <w:p>
            <w:r>
              <w:rPr>
                <w:rFonts w:hint="eastAsia"/>
              </w:rPr>
              <w:t>提供《</w:t>
            </w:r>
            <w:r>
              <w:rPr>
                <w:rFonts w:hint="eastAsia"/>
                <w:lang w:val="en-US" w:eastAsia="zh-CN"/>
              </w:rPr>
              <w:t>特殊</w:t>
            </w:r>
            <w:r>
              <w:rPr>
                <w:rFonts w:hint="eastAsia"/>
              </w:rPr>
              <w:t>过程确认记录表》，确认内容包括</w:t>
            </w:r>
            <w:r>
              <w:rPr>
                <w:rFonts w:hint="eastAsia"/>
                <w:color w:val="000000"/>
              </w:rPr>
              <w:t>确认内容包括：销售服务方法和程序、销售服务程序、设备工具的认可、人员资格的鉴定、记录要求等。评审结论：根据公司实际情况，销售服务实现过程按照公司质量控制管理制度进行，过程所用基础设施均处在完好状态，从业人员经过培训，胜任本职工作，可以提供满足顾客要求、法律法规要求的服务。</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300" w:lineRule="exact"/>
              <w:rPr>
                <w:b/>
                <w:color w:val="000000" w:themeColor="text1"/>
                <w:sz w:val="20"/>
                <w:szCs w:val="20"/>
              </w:rPr>
            </w:pPr>
          </w:p>
          <w:p>
            <w:pPr>
              <w:spacing w:line="300" w:lineRule="exact"/>
              <w:rPr>
                <w:b/>
                <w:color w:val="000000" w:themeColor="text1"/>
                <w:sz w:val="20"/>
                <w:szCs w:val="20"/>
              </w:rPr>
            </w:pPr>
          </w:p>
          <w:p>
            <w:pPr>
              <w:spacing w:line="240" w:lineRule="exact"/>
              <w:rPr>
                <w:b/>
                <w:color w:val="000000" w:themeColor="text1"/>
                <w:sz w:val="20"/>
                <w:szCs w:val="20"/>
              </w:rPr>
            </w:pPr>
            <w:r>
              <w:rPr>
                <w:rFonts w:hint="eastAsia"/>
                <w:bCs/>
                <w:szCs w:val="21"/>
              </w:rPr>
              <w:t>按照顾客和合同要求进行服务，能够稳定的向顾客提供</w:t>
            </w:r>
            <w:r>
              <w:rPr>
                <w:rFonts w:hint="eastAsia" w:ascii="宋体" w:hAnsi="宋体"/>
                <w:b/>
                <w:bCs/>
                <w:color w:val="auto"/>
                <w:szCs w:val="21"/>
              </w:rPr>
              <w:t>交通标牌、路牌、指路牌、标牌、标识、广告牌、公交候车亭；户外广告与LED显示屏设计、销售；金属制品（宣传栏、护栏护窗、不锈钢框）的销售</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(应说明相关证据)：</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240" w:lineRule="exact"/>
              <w:ind w:firstLine="201" w:firstLineChars="100"/>
              <w:rPr>
                <w:b/>
                <w:color w:val="000000" w:themeColor="text1"/>
                <w:sz w:val="20"/>
                <w:szCs w:val="20"/>
              </w:rPr>
            </w:pPr>
            <w:r>
              <w:rPr>
                <w:rFonts w:hint="eastAsia"/>
                <w:b/>
                <w:color w:val="000000" w:themeColor="text1"/>
                <w:sz w:val="20"/>
                <w:szCs w:val="20"/>
              </w:rPr>
              <w:t xml:space="preserve"> </w:t>
            </w:r>
          </w:p>
          <w:p>
            <w:pPr>
              <w:spacing w:line="24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见附件</w:t>
            </w: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p>
            <w:pPr>
              <w:spacing w:line="300" w:lineRule="exact"/>
              <w:jc w:val="lef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pPr>
            <w:r>
              <w:rPr>
                <w:rFonts w:hint="eastAsia"/>
              </w:rPr>
              <w:t>6. 不合格品/项的识别、控制;</w:t>
            </w:r>
          </w:p>
          <w:p>
            <w:pPr>
              <w:spacing w:line="240" w:lineRule="exact"/>
            </w:pPr>
          </w:p>
          <w:p>
            <w:pPr>
              <w:pStyle w:val="2"/>
            </w:pPr>
            <w:r>
              <w:rPr>
                <w:rFonts w:hint="eastAsia"/>
                <w:szCs w:val="21"/>
              </w:rPr>
              <w:t>能对发现的不合格及时进行纠正和控制。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Cs/>
                <w:szCs w:val="21"/>
              </w:rPr>
            </w:pPr>
            <w:r>
              <w:rPr>
                <w:rFonts w:hint="eastAsia"/>
                <w:bCs/>
                <w:szCs w:val="21"/>
              </w:rPr>
              <w:t>7. EMS组织对重要环境因素实施控制的结果</w:t>
            </w:r>
          </w:p>
          <w:p>
            <w:pPr>
              <w:spacing w:line="240" w:lineRule="exact"/>
              <w:rPr>
                <w:rFonts w:hint="eastAsia"/>
                <w:bCs/>
                <w:szCs w:val="21"/>
              </w:rPr>
            </w:pPr>
            <w:r>
              <w:rPr>
                <w:rFonts w:hint="eastAsia"/>
                <w:bCs/>
                <w:szCs w:val="21"/>
              </w:rPr>
              <w:t>（EMS对重要环境因素控制，重大环境因素对周边环境产生的影响及控制;对相关方施加影响）</w:t>
            </w:r>
          </w:p>
          <w:p>
            <w:pPr>
              <w:spacing w:line="240" w:lineRule="exact"/>
              <w:rPr>
                <w:rFonts w:hint="eastAsia"/>
                <w:bCs/>
                <w:szCs w:val="21"/>
              </w:rPr>
            </w:pPr>
          </w:p>
          <w:p>
            <w:pPr>
              <w:spacing w:line="240" w:lineRule="exact"/>
              <w:rPr>
                <w:rFonts w:hint="eastAsia"/>
                <w:bCs/>
                <w:szCs w:val="21"/>
              </w:rPr>
            </w:pPr>
            <w:r>
              <w:rPr>
                <w:rFonts w:hint="eastAsia"/>
                <w:bCs/>
                <w:szCs w:val="21"/>
              </w:rPr>
              <w:t>对重要环境因素（固废排放、</w:t>
            </w:r>
            <w:r>
              <w:rPr>
                <w:rFonts w:hint="eastAsia"/>
                <w:bCs/>
                <w:szCs w:val="21"/>
                <w:lang w:val="en-US" w:eastAsia="zh-CN"/>
              </w:rPr>
              <w:t>火灾</w:t>
            </w:r>
            <w:r>
              <w:rPr>
                <w:rFonts w:hint="eastAsia"/>
                <w:bCs/>
                <w:szCs w:val="21"/>
              </w:rPr>
              <w:t>）进行了识别和控制。目前公司重大环境因素对周边环境影响不大，可得到有效控制。对相关方进行了必要告知。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Cs/>
                <w:szCs w:val="21"/>
              </w:rPr>
            </w:pPr>
            <w:r>
              <w:rPr>
                <w:rFonts w:hint="eastAsia"/>
                <w:bCs/>
                <w:szCs w:val="21"/>
              </w:rPr>
              <w:t>8. OHS 组织对不可接受风险实施控制的结果</w:t>
            </w:r>
          </w:p>
          <w:p>
            <w:pPr>
              <w:spacing w:line="240" w:lineRule="exact"/>
              <w:rPr>
                <w:rFonts w:hint="eastAsia"/>
                <w:bCs/>
                <w:szCs w:val="21"/>
              </w:rPr>
            </w:pPr>
          </w:p>
          <w:p>
            <w:pPr>
              <w:spacing w:line="240" w:lineRule="exact"/>
              <w:rPr>
                <w:rFonts w:hint="eastAsia"/>
                <w:bCs/>
                <w:szCs w:val="21"/>
              </w:rPr>
            </w:pPr>
            <w:r>
              <w:rPr>
                <w:rFonts w:hint="eastAsia"/>
                <w:bCs/>
                <w:szCs w:val="21"/>
              </w:rPr>
              <w:t>对不可接受风险（火灾、触电、意外伤害）进行了识别和控制。目前公司不可接受风险对公司及周边环境影响不大，可得到有效控制。对相关方进行了必要告知。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b/>
                <w:color w:val="000000" w:themeColor="text1"/>
                <w:spacing w:val="-4"/>
                <w:sz w:val="20"/>
                <w:szCs w:val="20"/>
              </w:rPr>
            </w:pPr>
          </w:p>
          <w:p>
            <w:pPr>
              <w:spacing w:line="240" w:lineRule="exact"/>
              <w:rPr>
                <w:b/>
                <w:color w:val="000000" w:themeColor="text1"/>
                <w:spacing w:val="-4"/>
                <w:sz w:val="20"/>
                <w:szCs w:val="20"/>
              </w:rPr>
            </w:pPr>
            <w:r>
              <w:rPr>
                <w:rFonts w:hint="eastAsia"/>
                <w:bCs/>
                <w:szCs w:val="21"/>
              </w:rPr>
              <w:t>对火灾等制定了应急预案，并按要求进行了演练和评审，对演练效果进行了评价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bCs/>
              </w:rPr>
            </w:pPr>
            <w:r>
              <w:rPr>
                <w:rFonts w:hint="eastAsia"/>
                <w:b/>
                <w:bCs/>
              </w:rPr>
              <w:t>11 .对危险化学品物业管理、使用、储存、运输处置，规定的执行力度(必要时); （适用时）</w:t>
            </w:r>
          </w:p>
          <w:p>
            <w:pPr>
              <w:pStyle w:val="2"/>
              <w:rPr>
                <w:b/>
                <w:sz w:val="20"/>
                <w:szCs w:val="20"/>
              </w:rPr>
            </w:pPr>
          </w:p>
          <w:p>
            <w:pPr>
              <w:pStyle w:val="2"/>
              <w:rPr>
                <w:b/>
                <w:sz w:val="20"/>
                <w:szCs w:val="20"/>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ind w:firstLine="100" w:firstLineChars="50"/>
              <w:rPr>
                <w:b/>
                <w:color w:val="000000" w:themeColor="text1"/>
                <w:sz w:val="20"/>
                <w:szCs w:val="20"/>
              </w:rPr>
            </w:pPr>
          </w:p>
          <w:p>
            <w:pPr>
              <w:spacing w:line="240" w:lineRule="exact"/>
              <w:ind w:firstLine="105" w:firstLineChars="50"/>
              <w:rPr>
                <w:bCs/>
                <w:szCs w:val="21"/>
              </w:rPr>
            </w:pPr>
            <w:r>
              <w:rPr>
                <w:rFonts w:hint="eastAsia"/>
                <w:bCs/>
                <w:szCs w:val="21"/>
              </w:rPr>
              <w:t>对质量/环境/安全目标指标进行了考核，各部门基本可以完成质量/环境/安全目标要求。目标具备可测量性</w:t>
            </w:r>
          </w:p>
          <w:p>
            <w:pPr>
              <w:spacing w:line="240" w:lineRule="exact"/>
              <w:ind w:firstLine="100" w:firstLineChars="50"/>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0" w:hanging="100" w:hangingChars="50"/>
              <w:rPr>
                <w:b/>
                <w:color w:val="000000" w:themeColor="text1"/>
                <w:sz w:val="20"/>
                <w:szCs w:val="20"/>
              </w:rPr>
            </w:pPr>
          </w:p>
          <w:p>
            <w:pPr>
              <w:spacing w:line="240" w:lineRule="exact"/>
              <w:ind w:left="105" w:hanging="105" w:hangingChars="50"/>
              <w:rPr>
                <w:b/>
                <w:color w:val="000000" w:themeColor="text1"/>
                <w:sz w:val="20"/>
                <w:szCs w:val="20"/>
              </w:rPr>
            </w:pPr>
            <w:r>
              <w:rPr>
                <w:rFonts w:hint="eastAsia"/>
                <w:bCs/>
                <w:szCs w:val="21"/>
              </w:rPr>
              <w:t>对顾客进行满意度调查，并进行了分析。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000000" w:themeColor="text1"/>
                <w:spacing w:val="-8"/>
                <w:sz w:val="20"/>
                <w:szCs w:val="20"/>
              </w:rPr>
            </w:pPr>
          </w:p>
          <w:p>
            <w:pPr>
              <w:spacing w:line="240" w:lineRule="exact"/>
              <w:rPr>
                <w:b/>
                <w:color w:val="000000" w:themeColor="text1"/>
                <w:spacing w:val="-8"/>
                <w:sz w:val="20"/>
                <w:szCs w:val="20"/>
              </w:rPr>
            </w:pPr>
          </w:p>
          <w:p>
            <w:pPr>
              <w:spacing w:line="240" w:lineRule="exact"/>
              <w:rPr>
                <w:b/>
                <w:color w:val="000000" w:themeColor="text1"/>
                <w:sz w:val="20"/>
                <w:szCs w:val="20"/>
              </w:rPr>
            </w:pPr>
            <w:r>
              <w:rPr>
                <w:rFonts w:hint="eastAsia"/>
                <w:bCs/>
                <w:szCs w:val="21"/>
              </w:rPr>
              <w:t>本年度内审已按计划实施，内审策划审核方案中考虑了拟审核的过程和区域的状况和重要性，内审结论：体系运行有效。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szCs w:val="21"/>
              </w:rPr>
              <w:t>本年度管理评审已按计划实施，管理评审考虑了体系变更需求，制定了纠正或预防措施，体系运行基本有效。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szCs w:val="21"/>
              </w:rPr>
              <w:t>对发现的不合格产品和服务进行了分析、制定了纠正措施，进行了整改，对整改效果进行了追踪验证，结论合格，对不合格品可以进行有效控制。对内审中发现的不合格已制定纠正措施。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pacing w:val="-20"/>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b/>
                <w:color w:val="000000" w:themeColor="text1"/>
                <w:spacing w:val="-20"/>
                <w:sz w:val="20"/>
                <w:szCs w:val="20"/>
              </w:rPr>
            </w:pPr>
          </w:p>
          <w:p>
            <w:pPr>
              <w:spacing w:line="240" w:lineRule="exact"/>
              <w:rPr>
                <w:b/>
                <w:color w:val="000000" w:themeColor="text1"/>
                <w:spacing w:val="-20"/>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szCs w:val="21"/>
              </w:rPr>
              <w:t>体系运行至今无创新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本次审核共开具不符合项报告项；其中</w:t>
      </w:r>
      <w:r>
        <w:rPr>
          <w:b/>
          <w:color w:val="000000" w:themeColor="text1"/>
        </w:rPr>
        <w:pict>
          <v:line id="直接连接符 1" o:spid="_x0000_s1028" o:spt="20" style="position:absolute;left:0pt;margin-left:210pt;margin-top:16.2pt;height:0pt;width:0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color w:val="000000" w:themeColor="text1"/>
        </w:rPr>
        <w:t>严重不符合项，一般不符合项，观察项项分布在部门条款，分布见附件。（Q/J/E/S分开填写）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ascii="宋体" w:hAnsi="宋体" w:cs="宋体"/>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ascii="宋体" w:hAnsi="宋体" w:cs="宋体"/>
          <w:b/>
          <w:color w:val="000000" w:themeColor="text1"/>
          <w:spacing w:val="-10"/>
          <w:szCs w:val="21"/>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2" w:hRule="atLeast"/>
        </w:trPr>
        <w:tc>
          <w:tcPr>
            <w:tcW w:w="10080" w:type="dxa"/>
          </w:tcPr>
          <w:p>
            <w:pPr>
              <w:spacing w:line="280" w:lineRule="exact"/>
            </w:pPr>
            <w:r>
              <w:rPr>
                <w:rFonts w:hint="eastAsia"/>
              </w:rPr>
              <w:t>1. ■QMS     ■EMS ■OHSMS的适宜性、充分性、运行有效性，自我完善机制等。管理体系满足适用要求和实现预期结果的能力。</w:t>
            </w:r>
          </w:p>
          <w:p>
            <w:pPr>
              <w:spacing w:line="280" w:lineRule="exact"/>
              <w:ind w:left="210" w:hanging="210" w:hangingChars="100"/>
            </w:pPr>
            <w:r>
              <w:rPr>
                <w:rFonts w:hint="eastAsia"/>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pPr>
            <w:r>
              <w:rPr>
                <w:rFonts w:hint="eastAsia"/>
              </w:rPr>
              <w:t>■QMS  ■EMS  ■OHSMS持续的符合性及运行的有效性，以及与认证范围的持续相关性和适宜性及自我完善机制等。</w:t>
            </w:r>
          </w:p>
          <w:p>
            <w:pPr>
              <w:spacing w:line="240" w:lineRule="exact"/>
            </w:pPr>
          </w:p>
          <w:p>
            <w:pPr>
              <w:spacing w:line="240" w:lineRule="exact"/>
            </w:pPr>
          </w:p>
          <w:p>
            <w:pPr>
              <w:spacing w:line="240" w:lineRule="exact"/>
            </w:pPr>
            <w:r>
              <w:rPr>
                <w:rFonts w:hint="eastAsia"/>
              </w:rPr>
              <w:t>组织建立并实施的管理体系基本符合标准要求，可能存在的重要风险可以得到有效控制，没有出现过环境和安全事故以及顾客投诉事件发生，体系运行基本有效，组织初步建立了自我完善和自我改进机制。，同意推荐认证注册。</w:t>
            </w:r>
          </w:p>
          <w:p>
            <w:pPr>
              <w:spacing w:line="240" w:lineRule="exact"/>
            </w:pPr>
          </w:p>
          <w:p>
            <w:pPr>
              <w:pStyle w:val="2"/>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ascii="宋体" w:hAnsi="宋体" w:cs="宋体"/>
                <w:b/>
                <w:color w:val="000000" w:themeColor="text1"/>
                <w:spacing w:val="-10"/>
                <w:szCs w:val="21"/>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r>
              <w:rPr>
                <w:rFonts w:hint="eastAsia" w:ascii="宋体" w:hAnsi="宋体"/>
                <w:b/>
                <w:color w:val="000000" w:themeColor="text1"/>
              </w:rPr>
              <w:t xml:space="preserve"> </w:t>
            </w:r>
            <w:r>
              <w:rPr>
                <w:rFonts w:hint="eastAsia" w:ascii="宋体" w:hAnsi="宋体"/>
                <w:b/>
                <w:color w:val="000000" w:themeColor="text1"/>
                <w:u w:val="single"/>
              </w:rPr>
              <w:t xml:space="preserve">                                                                    </w:t>
            </w:r>
          </w:p>
          <w:p>
            <w:pPr>
              <w:spacing w:line="320" w:lineRule="exact"/>
              <w:rPr>
                <w:rFonts w:ascii="宋体" w:hAnsi="宋体"/>
                <w:b/>
                <w:color w:val="000000" w:themeColor="text1"/>
                <w:u w:val="single"/>
              </w:rPr>
            </w:pP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ascii="宋体" w:hAnsi="宋体" w:eastAsia="宋体" w:cs="宋体"/>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pacing w:val="-10"/>
                <w:szCs w:val="21"/>
                <w:lang w:eastAsia="zh-CN"/>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4"/>
              </w:rPr>
              <w:sym w:font="Wingdings" w:char="00A8"/>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ascii="宋体" w:hAnsi="宋体" w:cs="宋体"/>
                <w:b/>
                <w:color w:val="000000" w:themeColor="text1"/>
                <w:szCs w:val="21"/>
              </w:rPr>
              <w:sym w:font="Wingdings" w:char="00A8"/>
            </w:r>
            <w:r>
              <w:rPr>
                <w:rFonts w:hint="eastAsia"/>
                <w:b/>
                <w:color w:val="000000" w:themeColor="text1"/>
                <w:szCs w:val="21"/>
              </w:rPr>
              <w:t xml:space="preserve">QMS  </w:t>
            </w:r>
            <w:r>
              <w:rPr>
                <w:rFonts w:hint="eastAsia"/>
                <w:b/>
                <w:color w:val="000000" w:themeColor="text1"/>
                <w:spacing w:val="-10"/>
                <w:szCs w:val="21"/>
              </w:rPr>
              <w:t xml:space="preserve">   </w:t>
            </w:r>
            <w:r>
              <w:rPr>
                <w:rFonts w:hint="eastAsia" w:ascii="宋体" w:hAnsi="宋体" w:cs="宋体"/>
                <w:b/>
                <w:color w:val="000000" w:themeColor="text1"/>
                <w:spacing w:val="-10"/>
                <w:szCs w:val="21"/>
              </w:rPr>
              <w:sym w:font="Wingdings" w:char="00A8"/>
            </w:r>
            <w:r>
              <w:rPr>
                <w:rFonts w:hint="eastAsia"/>
                <w:b/>
                <w:color w:val="000000" w:themeColor="text1"/>
                <w:szCs w:val="21"/>
              </w:rPr>
              <w:t xml:space="preserve">EMS   </w:t>
            </w:r>
            <w:r>
              <w:rPr>
                <w:rFonts w:hint="eastAsia" w:ascii="宋体" w:hAnsi="宋体" w:cs="宋体"/>
                <w:b/>
                <w:color w:val="000000" w:themeColor="text1"/>
                <w:spacing w:val="-10"/>
                <w:szCs w:val="21"/>
              </w:rPr>
              <w:sym w:font="Wingdings" w:char="00A8"/>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rPr>
          <w:b/>
          <w:color w:val="000000" w:themeColor="text1"/>
        </w:rPr>
      </w:pPr>
      <w:r>
        <w:rPr>
          <w:rFonts w:hint="eastAsia"/>
          <w:b/>
          <w:color w:val="000000" w:themeColor="text1"/>
        </w:rPr>
        <w:t>一般不符合报告在天/严重不符合在天针对不符合原因制定并实施纠正措施。验证方式见不符合项报告。</w:t>
      </w:r>
    </w:p>
    <w:p>
      <w:pPr>
        <w:numPr>
          <w:ilvl w:val="0"/>
          <w:numId w:val="4"/>
        </w:numPr>
        <w:spacing w:before="156" w:beforeLines="50" w:after="156" w:afterLines="50"/>
        <w:ind w:left="62" w:leftChars="-405" w:hanging="912" w:hangingChars="326"/>
        <w:rPr>
          <w:rFonts w:hint="eastAsia"/>
          <w:b/>
          <w:color w:val="000000" w:themeColor="text1"/>
          <w:sz w:val="26"/>
          <w:szCs w:val="26"/>
        </w:rPr>
      </w:pPr>
      <w:r>
        <w:rPr>
          <w:rFonts w:hint="eastAsia" w:ascii="仿宋" w:hAnsi="仿宋" w:eastAsia="仿宋" w:cstheme="minorBidi"/>
          <w:color w:val="000000" w:themeColor="text1"/>
          <w:kern w:val="24"/>
          <w:sz w:val="28"/>
          <w:szCs w:val="28"/>
        </w:rPr>
        <w:t>任何影响审核方案的重要事项</w:t>
      </w:r>
      <w:r>
        <w:rPr>
          <w:rFonts w:hint="eastAsia"/>
          <w:b/>
          <w:color w:val="000000" w:themeColor="text1"/>
          <w:sz w:val="26"/>
          <w:szCs w:val="26"/>
        </w:rPr>
        <w:t>：</w:t>
      </w:r>
    </w:p>
    <w:p>
      <w:pPr>
        <w:pStyle w:val="2"/>
        <w:numPr>
          <w:ilvl w:val="0"/>
          <w:numId w:val="0"/>
        </w:numPr>
        <w:rPr>
          <w:rFonts w:hint="default" w:eastAsia="宋体"/>
          <w:color w:val="FF0000"/>
          <w:lang w:val="en-US" w:eastAsia="zh-CN"/>
        </w:rPr>
      </w:pPr>
      <w:r>
        <w:rPr>
          <w:rFonts w:hint="eastAsia"/>
          <w:color w:val="FF0000"/>
          <w:lang w:val="en-US" w:eastAsia="zh-CN"/>
        </w:rPr>
        <w:t>受疫情影响，本次为远程审核，后续将安排现场审核，对本次远程审核进行核验。</w:t>
      </w: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rPr>
      </w:pPr>
      <w:r>
        <w:rPr>
          <w:rFonts w:hint="eastAsia"/>
          <w:b/>
          <w:color w:val="000000" w:themeColor="text1"/>
          <w:sz w:val="26"/>
          <w:szCs w:val="26"/>
        </w:rPr>
        <w:t>审核组组长（签名）：</w:t>
      </w:r>
      <w:r>
        <w:drawing>
          <wp:inline distT="0" distB="0" distL="114300" distR="114300">
            <wp:extent cx="904875" cy="396240"/>
            <wp:effectExtent l="0" t="0" r="9525"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904875" cy="396240"/>
                    </a:xfrm>
                    <a:prstGeom prst="rect">
                      <a:avLst/>
                    </a:prstGeom>
                    <a:noFill/>
                    <a:ln>
                      <a:noFill/>
                    </a:ln>
                  </pic:spPr>
                </pic:pic>
              </a:graphicData>
            </a:graphic>
          </wp:inline>
        </w:drawing>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r>
        <w:drawing>
          <wp:inline distT="0" distB="0" distL="114300" distR="114300">
            <wp:extent cx="904875" cy="396240"/>
            <wp:effectExtent l="0" t="0" r="9525" b="1016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904875" cy="396240"/>
                    </a:xfrm>
                    <a:prstGeom prst="rect">
                      <a:avLst/>
                    </a:prstGeom>
                    <a:noFill/>
                    <a:ln>
                      <a:noFill/>
                    </a:ln>
                  </pic:spPr>
                </pic:pic>
              </a:graphicData>
            </a:graphic>
          </wp:inline>
        </w:drawing>
      </w:r>
    </w:p>
    <w:p>
      <w:pPr>
        <w:snapToGrid w:val="0"/>
        <w:spacing w:line="360" w:lineRule="auto"/>
        <w:ind w:firstLine="3080" w:firstLineChars="1461"/>
        <w:rPr>
          <w:b/>
          <w:color w:val="000000" w:themeColor="text1"/>
          <w:sz w:val="16"/>
          <w:szCs w:val="16"/>
        </w:rPr>
      </w:pPr>
      <w:r>
        <w:rPr>
          <w:rFonts w:hint="eastAsia"/>
          <w:b/>
          <w:color w:val="000000" w:themeColor="text1"/>
        </w:rPr>
        <w:t>日期    20</w:t>
      </w:r>
      <w:r>
        <w:rPr>
          <w:rFonts w:hint="eastAsia"/>
          <w:b/>
          <w:color w:val="000000" w:themeColor="text1"/>
          <w:lang w:val="en-US" w:eastAsia="zh-CN"/>
        </w:rPr>
        <w:t>20</w:t>
      </w:r>
      <w:r>
        <w:rPr>
          <w:rFonts w:hint="eastAsia"/>
          <w:b/>
          <w:color w:val="000000" w:themeColor="text1"/>
        </w:rPr>
        <w:t xml:space="preserve"> </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5</w:t>
      </w:r>
      <w:r>
        <w:rPr>
          <w:rFonts w:hint="eastAsia" w:asciiTheme="minorEastAsia" w:hAnsiTheme="minorEastAsia" w:eastAsiaTheme="minorEastAsia"/>
          <w:b/>
          <w:color w:val="000000" w:themeColor="text1"/>
        </w:rPr>
        <w:t xml:space="preserve">月 </w:t>
      </w:r>
      <w:r>
        <w:rPr>
          <w:rFonts w:hint="eastAsia" w:asciiTheme="minorEastAsia" w:hAnsiTheme="minorEastAsia" w:eastAsiaTheme="minorEastAsia"/>
          <w:b/>
          <w:color w:val="000000" w:themeColor="text1"/>
          <w:lang w:val="en-US" w:eastAsia="zh-CN"/>
        </w:rPr>
        <w:t>26</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Chars="-202" w:hanging="424" w:hangingChars="201"/>
        <w:rPr>
          <w:b/>
          <w:color w:val="000000" w:themeColor="text1"/>
          <w:sz w:val="26"/>
          <w:szCs w:val="26"/>
        </w:rPr>
      </w:pPr>
      <w:r>
        <w:rPr>
          <w:rFonts w:hint="eastAsia"/>
          <w:b/>
          <w:bCs/>
          <w:color w:val="000000" w:themeColor="text1"/>
          <w:szCs w:val="21"/>
        </w:rPr>
        <w:t>1.  审核中发现的</w:t>
      </w:r>
      <w:r>
        <w:rPr>
          <w:rFonts w:hint="eastAsia" w:ascii="宋体" w:hAnsi="宋体"/>
          <w:b/>
          <w:bCs/>
          <w:color w:val="000000" w:themeColor="text1"/>
          <w:spacing w:val="-10"/>
          <w:szCs w:val="21"/>
        </w:rPr>
        <w:sym w:font="Wingdings" w:char="00A8"/>
      </w:r>
      <w:r>
        <w:rPr>
          <w:rFonts w:hint="eastAsia"/>
          <w:b/>
          <w:color w:val="000000" w:themeColor="text1"/>
          <w:szCs w:val="21"/>
        </w:rPr>
        <w:t>QMS(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bCs/>
          <w:color w:val="000000" w:themeColor="text1"/>
          <w:szCs w:val="21"/>
        </w:rPr>
        <w:sym w:font="Wingdings" w:char="00A8"/>
      </w:r>
      <w:r>
        <w:rPr>
          <w:rFonts w:hint="eastAsia"/>
          <w:b/>
          <w:color w:val="000000" w:themeColor="text1"/>
          <w:szCs w:val="21"/>
        </w:rPr>
        <w:t>EMS(  )个一般不符合，(  )个严重不符合，</w:t>
      </w:r>
      <w:r>
        <w:rPr>
          <w:rFonts w:hint="eastAsia"/>
          <w:b/>
          <w:color w:val="000000" w:themeColor="text1"/>
          <w:szCs w:val="21"/>
        </w:rPr>
        <w:sym w:font="Wingdings" w:char="00A8"/>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bCs/>
          <w:color w:val="000000" w:themeColor="text1"/>
          <w:szCs w:val="21"/>
        </w:rPr>
        <w:sym w:font="Wingdings" w:char="00A8"/>
      </w:r>
      <w:r>
        <w:rPr>
          <w:rFonts w:hint="eastAsia"/>
          <w:b/>
          <w:color w:val="000000" w:themeColor="text1"/>
          <w:szCs w:val="21"/>
        </w:rPr>
        <w:t>OHSMS(  )个一般不符合，(  )个严重不符合，</w:t>
      </w:r>
      <w:r>
        <w:rPr>
          <w:rFonts w:hint="eastAsia"/>
          <w:b/>
          <w:color w:val="000000" w:themeColor="text1"/>
          <w:szCs w:val="21"/>
        </w:rPr>
        <w:sym w:font="Wingdings" w:char="00A8"/>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ascii="宋体" w:hAnsi="宋体" w:cs="宋体"/>
          <w:b/>
          <w:color w:val="000000" w:themeColor="text1"/>
          <w:spacing w:val="-10"/>
          <w:szCs w:val="21"/>
        </w:rPr>
        <w:t>█</w:t>
      </w:r>
      <w:r>
        <w:rPr>
          <w:rFonts w:hint="eastAsia"/>
          <w:b/>
          <w:color w:val="000000" w:themeColor="text1"/>
          <w:szCs w:val="21"/>
        </w:rPr>
        <w:t xml:space="preserve">推荐注册      □不推荐注册     </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 xml:space="preserve">组长签字:   </w:t>
      </w:r>
      <w:r>
        <w:drawing>
          <wp:inline distT="0" distB="0" distL="114300" distR="114300">
            <wp:extent cx="904875" cy="396240"/>
            <wp:effectExtent l="0" t="0" r="9525" b="1016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5"/>
                    <a:stretch>
                      <a:fillRect/>
                    </a:stretch>
                  </pic:blipFill>
                  <pic:spPr>
                    <a:xfrm>
                      <a:off x="0" y="0"/>
                      <a:ext cx="904875" cy="396240"/>
                    </a:xfrm>
                    <a:prstGeom prst="rect">
                      <a:avLst/>
                    </a:prstGeom>
                    <a:noFill/>
                    <a:ln>
                      <a:noFill/>
                    </a:ln>
                  </pic:spPr>
                </pic:pic>
              </a:graphicData>
            </a:graphic>
          </wp:inline>
        </w:drawing>
      </w:r>
      <w:r>
        <w:rPr>
          <w:rFonts w:hint="eastAsia"/>
          <w:b/>
          <w:color w:val="000000" w:themeColor="text1"/>
          <w:szCs w:val="21"/>
        </w:rPr>
        <w:t xml:space="preserve">                            日期:   </w:t>
      </w:r>
      <w:r>
        <w:rPr>
          <w:rFonts w:hint="eastAsia"/>
          <w:b/>
          <w:color w:val="000000" w:themeColor="text1"/>
          <w:szCs w:val="21"/>
          <w:lang w:val="en-US" w:eastAsia="zh-CN"/>
        </w:rPr>
        <w:t>2020</w:t>
      </w:r>
      <w:r>
        <w:rPr>
          <w:rFonts w:hint="eastAsia"/>
          <w:b/>
          <w:color w:val="000000" w:themeColor="text1"/>
          <w:szCs w:val="21"/>
        </w:rPr>
        <w:t xml:space="preserve">  年</w:t>
      </w:r>
      <w:r>
        <w:rPr>
          <w:rFonts w:hint="eastAsia"/>
          <w:b/>
          <w:color w:val="000000" w:themeColor="text1"/>
          <w:szCs w:val="21"/>
          <w:lang w:val="en-US" w:eastAsia="zh-CN"/>
        </w:rPr>
        <w:t>5</w:t>
      </w:r>
      <w:r>
        <w:rPr>
          <w:rFonts w:hint="eastAsia"/>
          <w:b/>
          <w:color w:val="000000" w:themeColor="text1"/>
          <w:szCs w:val="21"/>
        </w:rPr>
        <w:t xml:space="preserve"> 月</w:t>
      </w:r>
      <w:r>
        <w:rPr>
          <w:rFonts w:hint="eastAsia"/>
          <w:b/>
          <w:color w:val="000000" w:themeColor="text1"/>
          <w:szCs w:val="21"/>
          <w:lang w:val="en-US" w:eastAsia="zh-CN"/>
        </w:rPr>
        <w:t>26</w:t>
      </w:r>
      <w:bookmarkStart w:id="7" w:name="_GoBack"/>
      <w:bookmarkEnd w:id="7"/>
      <w:r>
        <w:rPr>
          <w:rFonts w:hint="eastAsia"/>
          <w:b/>
          <w:color w:val="000000" w:themeColor="text1"/>
          <w:szCs w:val="21"/>
        </w:rPr>
        <w:t>日</w:t>
      </w:r>
    </w:p>
    <w:p>
      <w:pPr>
        <w:spacing w:line="360" w:lineRule="auto"/>
        <w:ind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5"/>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认证评定负责人：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pPr>
        <w:numPr>
          <w:ilvl w:val="0"/>
          <w:numId w:val="5"/>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批准人（总经理）：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Chars="-405" w:hanging="850" w:hangingChars="403"/>
        <w:rPr>
          <w:b/>
          <w:color w:val="000000" w:themeColor="text1"/>
          <w:szCs w:val="21"/>
          <w:u w:val="single"/>
        </w:rPr>
      </w:pPr>
    </w:p>
    <w:p>
      <w:pPr>
        <w:snapToGrid w:val="0"/>
        <w:spacing w:line="360" w:lineRule="auto"/>
        <w:ind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144" w:leftChars="-405" w:hanging="706" w:hangingChars="335"/>
        <w:rPr>
          <w:b/>
          <w:bCs/>
          <w:color w:val="000000" w:themeColor="text1"/>
          <w:szCs w:val="21"/>
        </w:rPr>
      </w:pPr>
      <w:r>
        <w:rPr>
          <w:rFonts w:hint="eastAsia"/>
          <w:b/>
          <w:bCs/>
          <w:color w:val="000000" w:themeColor="text1"/>
          <w:szCs w:val="21"/>
        </w:rPr>
        <w:t>6. 对同时申请CNAS标志证书的组织，应注意两种证书的注册范围可能不同。</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0000000000000000000"/>
    <w:charset w:val="86"/>
    <w:family w:val="auto"/>
    <w:pitch w:val="default"/>
    <w:sig w:usb0="00000000" w:usb1="00000000" w:usb2="00000010" w:usb3="00000000" w:csb0="0004009F" w:csb1="00000000"/>
  </w:font>
  <w:font w:name="楷体_GB2312">
    <w:altName w:val="楷体"/>
    <w:panose1 w:val="00000000000000000000"/>
    <w:charset w:val="86"/>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6EA223"/>
    <w:multiLevelType w:val="singleLevel"/>
    <w:tmpl w:val="406EA223"/>
    <w:lvl w:ilvl="0" w:tentative="0">
      <w:start w:val="2"/>
      <w:numFmt w:val="decimal"/>
      <w:suff w:val="nothing"/>
      <w:lvlText w:val="%1、"/>
      <w:lvlJc w:val="left"/>
    </w:lvl>
  </w:abstractNum>
  <w:abstractNum w:abstractNumId="1">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4">
    <w:nsid w:val="7C5D53C9"/>
    <w:multiLevelType w:val="singleLevel"/>
    <w:tmpl w:val="7C5D53C9"/>
    <w:lvl w:ilvl="0" w:tentative="0">
      <w:start w:val="13"/>
      <w:numFmt w:val="chineseCounting"/>
      <w:suff w:val="space"/>
      <w:lvlText w:val="%1、"/>
      <w:lvlJc w:val="left"/>
      <w:rPr>
        <w:rFonts w:hint="eastAsia"/>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1113C"/>
    <w:rsid w:val="000247CC"/>
    <w:rsid w:val="000443F0"/>
    <w:rsid w:val="00075C70"/>
    <w:rsid w:val="0008517E"/>
    <w:rsid w:val="000F2F8F"/>
    <w:rsid w:val="00197C64"/>
    <w:rsid w:val="001C19E2"/>
    <w:rsid w:val="001D5696"/>
    <w:rsid w:val="00250BBA"/>
    <w:rsid w:val="00266840"/>
    <w:rsid w:val="002B120A"/>
    <w:rsid w:val="002B1290"/>
    <w:rsid w:val="002C24DB"/>
    <w:rsid w:val="002D1483"/>
    <w:rsid w:val="002F549E"/>
    <w:rsid w:val="00304003"/>
    <w:rsid w:val="00341103"/>
    <w:rsid w:val="00373391"/>
    <w:rsid w:val="00376915"/>
    <w:rsid w:val="003D3F5A"/>
    <w:rsid w:val="003E3D4F"/>
    <w:rsid w:val="003F74C1"/>
    <w:rsid w:val="004100EA"/>
    <w:rsid w:val="00464786"/>
    <w:rsid w:val="00484B0B"/>
    <w:rsid w:val="004B0C57"/>
    <w:rsid w:val="004C1602"/>
    <w:rsid w:val="004D3E71"/>
    <w:rsid w:val="005164BD"/>
    <w:rsid w:val="00584F23"/>
    <w:rsid w:val="00592421"/>
    <w:rsid w:val="005B46F0"/>
    <w:rsid w:val="005B675E"/>
    <w:rsid w:val="005E1CBB"/>
    <w:rsid w:val="00603285"/>
    <w:rsid w:val="00610FA8"/>
    <w:rsid w:val="006306D9"/>
    <w:rsid w:val="00632A83"/>
    <w:rsid w:val="006360D1"/>
    <w:rsid w:val="0063633F"/>
    <w:rsid w:val="00664382"/>
    <w:rsid w:val="006818B0"/>
    <w:rsid w:val="006C6F24"/>
    <w:rsid w:val="00712F52"/>
    <w:rsid w:val="00745B30"/>
    <w:rsid w:val="00770469"/>
    <w:rsid w:val="00775D3A"/>
    <w:rsid w:val="00784CC6"/>
    <w:rsid w:val="007C4DD7"/>
    <w:rsid w:val="008030AC"/>
    <w:rsid w:val="0084337B"/>
    <w:rsid w:val="00845D78"/>
    <w:rsid w:val="00850E86"/>
    <w:rsid w:val="00853D8C"/>
    <w:rsid w:val="00857EF7"/>
    <w:rsid w:val="008648E8"/>
    <w:rsid w:val="00877EB8"/>
    <w:rsid w:val="008A4F66"/>
    <w:rsid w:val="008A6929"/>
    <w:rsid w:val="008B07CC"/>
    <w:rsid w:val="009203AC"/>
    <w:rsid w:val="0092740B"/>
    <w:rsid w:val="00932B07"/>
    <w:rsid w:val="00986C4E"/>
    <w:rsid w:val="009958FB"/>
    <w:rsid w:val="009A7BA8"/>
    <w:rsid w:val="009E496A"/>
    <w:rsid w:val="009E741A"/>
    <w:rsid w:val="00A02276"/>
    <w:rsid w:val="00A057D9"/>
    <w:rsid w:val="00A112DB"/>
    <w:rsid w:val="00AB1797"/>
    <w:rsid w:val="00AB688A"/>
    <w:rsid w:val="00AC3F5D"/>
    <w:rsid w:val="00AE71F3"/>
    <w:rsid w:val="00AF66F6"/>
    <w:rsid w:val="00B1795A"/>
    <w:rsid w:val="00B34573"/>
    <w:rsid w:val="00BC3244"/>
    <w:rsid w:val="00BD2793"/>
    <w:rsid w:val="00C634D9"/>
    <w:rsid w:val="00C757A7"/>
    <w:rsid w:val="00D00BA6"/>
    <w:rsid w:val="00D1113C"/>
    <w:rsid w:val="00D40E52"/>
    <w:rsid w:val="00DD2268"/>
    <w:rsid w:val="00E148C5"/>
    <w:rsid w:val="00E255D2"/>
    <w:rsid w:val="00E32B36"/>
    <w:rsid w:val="00E9214A"/>
    <w:rsid w:val="00E95D39"/>
    <w:rsid w:val="00EC2388"/>
    <w:rsid w:val="00EF1481"/>
    <w:rsid w:val="00F326DC"/>
    <w:rsid w:val="00F64301"/>
    <w:rsid w:val="00F86288"/>
    <w:rsid w:val="00FA5C98"/>
    <w:rsid w:val="00FA70D9"/>
    <w:rsid w:val="00FD38F7"/>
    <w:rsid w:val="00FF14F7"/>
    <w:rsid w:val="00FF6078"/>
    <w:rsid w:val="02775545"/>
    <w:rsid w:val="06D82E51"/>
    <w:rsid w:val="09CD4F64"/>
    <w:rsid w:val="0A271CF7"/>
    <w:rsid w:val="14E11A4F"/>
    <w:rsid w:val="163F54A9"/>
    <w:rsid w:val="1C440198"/>
    <w:rsid w:val="21611269"/>
    <w:rsid w:val="21A15F24"/>
    <w:rsid w:val="23626857"/>
    <w:rsid w:val="30412F8C"/>
    <w:rsid w:val="35552477"/>
    <w:rsid w:val="39A60EB0"/>
    <w:rsid w:val="3C6210A8"/>
    <w:rsid w:val="4B4A3A22"/>
    <w:rsid w:val="50D460E6"/>
    <w:rsid w:val="5CDD1C2D"/>
    <w:rsid w:val="63A901AD"/>
    <w:rsid w:val="7A3A03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6"/>
        <o:r id="V:Rule2"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字符"/>
    <w:basedOn w:val="9"/>
    <w:link w:val="5"/>
    <w:qFormat/>
    <w:uiPriority w:val="99"/>
    <w:rPr>
      <w:rFonts w:ascii="Times New Roman" w:hAnsi="Times New Roman" w:eastAsia="宋体" w:cs="Times New Roman"/>
      <w:sz w:val="18"/>
      <w:szCs w:val="18"/>
    </w:rPr>
  </w:style>
  <w:style w:type="character" w:customStyle="1" w:styleId="13">
    <w:name w:val="页脚 字符"/>
    <w:basedOn w:val="9"/>
    <w:link w:val="4"/>
    <w:qFormat/>
    <w:uiPriority w:val="99"/>
    <w:rPr>
      <w:rFonts w:ascii="Times New Roman" w:hAnsi="Times New Roman" w:eastAsia="宋体" w:cs="Times New Roman"/>
      <w:sz w:val="18"/>
      <w:szCs w:val="18"/>
    </w:rPr>
  </w:style>
  <w:style w:type="character" w:customStyle="1" w:styleId="14">
    <w:name w:val="批注框文本 字符"/>
    <w:basedOn w:val="9"/>
    <w:link w:val="3"/>
    <w:semiHidden/>
    <w:qFormat/>
    <w:uiPriority w:val="99"/>
    <w:rPr>
      <w:rFonts w:ascii="Times New Roman" w:hAnsi="Times New Roman" w:eastAsia="宋体" w:cs="Times New Roman"/>
      <w:sz w:val="18"/>
      <w:szCs w:val="18"/>
    </w:rPr>
  </w:style>
  <w:style w:type="paragraph" w:customStyle="1" w:styleId="15">
    <w:name w:val="列出段落1"/>
    <w:basedOn w:val="1"/>
    <w:qFormat/>
    <w:uiPriority w:val="34"/>
    <w:pPr>
      <w:ind w:firstLine="420" w:firstLineChars="200"/>
    </w:pPr>
  </w:style>
  <w:style w:type="character" w:customStyle="1" w:styleId="16">
    <w:name w:val="info-content-text"/>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EBD318-F024-4D0C-A674-70FC1F76637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1355</Words>
  <Characters>7727</Characters>
  <Lines>64</Lines>
  <Paragraphs>18</Paragraphs>
  <TotalTime>0</TotalTime>
  <ScaleCrop>false</ScaleCrop>
  <LinksUpToDate>false</LinksUpToDate>
  <CharactersWithSpaces>9064</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叶子</cp:lastModifiedBy>
  <cp:lastPrinted>2019-05-25T02:01:00Z</cp:lastPrinted>
  <dcterms:modified xsi:type="dcterms:W3CDTF">2020-05-31T15:01:53Z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