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20330-2024-QFH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重庆顺口味食品有限责任公司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Q:03.08.04</w:t>
            </w:r>
          </w:p>
          <w:p w:rsidR="00A824E9">
            <w:pPr>
              <w:spacing w:line="360" w:lineRule="exact"/>
              <w:jc w:val="center"/>
              <w:rPr>
                <w:b/>
                <w:szCs w:val="21"/>
              </w:rPr>
            </w:pPr>
            <w:r>
              <w:rPr>
                <w:b/>
                <w:szCs w:val="21"/>
              </w:rPr>
              <w:t>F:CIV-13</w:t>
            </w:r>
          </w:p>
          <w:p w:rsidR="00A824E9">
            <w:pPr>
              <w:spacing w:line="360" w:lineRule="exact"/>
              <w:jc w:val="center"/>
              <w:rPr>
                <w:b/>
                <w:szCs w:val="21"/>
              </w:rPr>
            </w:pPr>
            <w:r>
              <w:rPr>
                <w:b/>
                <w:szCs w:val="21"/>
              </w:rPr>
              <w:t>H:CIV-13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2024-N0QMS-1301841</w:t>
            </w:r>
          </w:p>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Q:03.08.04</w:t>
            </w:r>
          </w:p>
          <w:p w:rsidR="00A824E9">
            <w:pPr>
              <w:spacing w:line="360" w:lineRule="exact"/>
              <w:jc w:val="center"/>
              <w:rPr>
                <w:b/>
                <w:szCs w:val="21"/>
              </w:rPr>
            </w:pPr>
            <w:r>
              <w:rPr>
                <w:b/>
                <w:szCs w:val="21"/>
              </w:rPr>
              <w:t>F:CIV-13</w:t>
            </w:r>
          </w:p>
          <w:p w:rsidR="00A824E9">
            <w:pPr>
              <w:spacing w:line="360" w:lineRule="exact"/>
              <w:jc w:val="center"/>
              <w:rPr>
                <w:b/>
                <w:szCs w:val="21"/>
              </w:rPr>
            </w:pPr>
            <w:r>
              <w:rPr>
                <w:b/>
                <w:szCs w:val="21"/>
              </w:rPr>
              <w:t>H:CIV-13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2024年05月22日 下午至2024年05月24日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重庆市江津区德感街道兰溪路1号附1号5-3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重庆市江津区德感街道兰溪路1号附1号5-3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