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hint="eastAsia" w:ascii="Times New Roman" w:hAnsi="Times New Roman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r>
        <w:rPr>
          <w:rStyle w:val="9"/>
          <w:rFonts w:ascii="Times New Roman" w:hAnsi="Times New Roman" w:cs="Times New Roman"/>
          <w:sz w:val="18"/>
          <w:szCs w:val="21"/>
          <w:u w:val="single"/>
          <w:lang w:val="zh-CN"/>
        </w:rPr>
        <w:t>0060-2018-2020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5"/>
        <w:tblW w:w="874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4.总要求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 计量职能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 以顾客为关注焦点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5.3 质量目标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5.4 管理评审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6.1人力资源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6.1.1人员的职责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6.1.2能力和培训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6.2信息资源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6.2.1程序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6.2.2软件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6.2.4标识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 物资资源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6.3.2环境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6.4外部供方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7.1计量确认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7.1.1 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7.1.2 计量确认间隔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7.1.3设备调整控制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7.1.4计量确认过程记录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 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7.2.1总则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7.2.2测量过程设计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7.2.3测量过程实现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7.2.4测量过程记录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7.3.1测量不确定度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8.2.2顾客满意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8.2.3测量管理体系审核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8.2.4测量管理体系的监视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8.3.1不合格测量管理体系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8.3.2不合格测量过程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8.3.3不合格测量设备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8.4.2 纠正措施</w:t>
            </w:r>
          </w:p>
          <w:p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8.4.3 预防措施</w:t>
            </w:r>
          </w:p>
        </w:tc>
        <w:tc>
          <w:tcPr>
            <w:tcW w:w="954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42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1912620</wp:posOffset>
            </wp:positionH>
            <wp:positionV relativeFrom="paragraph">
              <wp:posOffset>119380</wp:posOffset>
            </wp:positionV>
            <wp:extent cx="635635" cy="442595"/>
            <wp:effectExtent l="0" t="0" r="12065" b="14605"/>
            <wp:wrapNone/>
            <wp:docPr id="1" name="图片 2" descr="052c3224ee727cd0ef29b77329c8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052c3224ee727cd0ef29b77329c8de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2020.05.13</w:t>
      </w:r>
    </w:p>
    <w:p>
      <w:pPr>
        <w:jc w:val="right"/>
      </w:pPr>
      <w:bookmarkStart w:id="1" w:name="_GoBack"/>
      <w:bookmarkEnd w:id="1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6B97C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439</Characters>
  <Lines>3</Lines>
  <Paragraphs>1</Paragraphs>
  <TotalTime>1</TotalTime>
  <ScaleCrop>false</ScaleCrop>
  <LinksUpToDate>false</LinksUpToDate>
  <CharactersWithSpaces>515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常宁</cp:lastModifiedBy>
  <dcterms:modified xsi:type="dcterms:W3CDTF">2020-05-13T07:20:44Z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