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0242-2018-Q-2020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重庆云瑞智能自动化设备有限公司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重庆市璧山区青杠街道青杠大道318号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重庆市璧山区青杠街道青杠大道318号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重庆市璧山区青杠街道青杠大道318号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91500227MA5UQAWKXR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17783137420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聂子建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