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成都欧林生物科技股份有限公司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20249-2024-EO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成都高新区天欣路99号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成都高新区天欣路99号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王桂渝</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18030682384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18030682384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E:349,O:349</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2024年05月10日 上午至2024年05月16日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E:3.5,O:3.5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E：资质许可范围内吸附破伤风疫苗、b型流感嗜血杆菌结合疫苗、A群C群脑膜炎球菌多糖结合疫苗的研发及生产所涉及场所的相关环境管理活动</w:t>
            </w:r>
          </w:p>
          <w:p>
            <w:pPr>
              <w:tabs>
                <w:tab w:val="left" w:pos="0"/>
              </w:tabs>
              <w:jc w:val="left"/>
              <w:rPr>
                <w:sz w:val="21"/>
                <w:szCs w:val="21"/>
              </w:rPr>
            </w:pPr>
            <w:r>
              <w:rPr>
                <w:sz w:val="21"/>
                <w:szCs w:val="21"/>
              </w:rPr>
              <w:t>O：资质许可范围内吸附破伤风疫苗、b型流感嗜血杆菌结合疫苗、A群C群脑膜炎球菌多糖结合疫苗的研发及生产所涉及场所的相关职业健康安全管理活动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E：13.02.00</w:t>
            </w:r>
          </w:p>
          <w:p>
            <w:pPr>
              <w:tabs>
                <w:tab w:val="left" w:pos="0"/>
              </w:tabs>
              <w:rPr>
                <w:sz w:val="21"/>
                <w:szCs w:val="21"/>
              </w:rPr>
            </w:pPr>
            <w:r>
              <w:rPr>
                <w:sz w:val="21"/>
                <w:szCs w:val="21"/>
              </w:rPr>
              <w:t>O：13.02.00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2023-N1EMS-2262293</w:t>
            </w:r>
          </w:p>
          <w:p>
            <w:pPr>
              <w:ind w:left="117"/>
              <w:jc w:val="center"/>
              <w:rPr>
                <w:sz w:val="21"/>
                <w:szCs w:val="21"/>
              </w:rPr>
            </w:pPr>
            <w:r>
              <w:rPr>
                <w:sz w:val="21"/>
                <w:szCs w:val="21"/>
              </w:rPr>
              <w:t>2021-N1OHSMS-1262293</w:t>
            </w:r>
          </w:p>
        </w:tc>
        <w:tc>
          <w:tcPr>
            <w:tcW w:w="3684" w:type="dxa"/>
            <w:gridSpan w:val="9"/>
            <w:vAlign w:val="center"/>
          </w:tcPr>
          <w:p>
            <w:pPr>
              <w:jc w:val="center"/>
              <w:rPr>
                <w:sz w:val="21"/>
                <w:szCs w:val="21"/>
              </w:rPr>
            </w:pPr>
            <w:r>
              <w:rPr>
                <w:sz w:val="21"/>
                <w:szCs w:val="21"/>
              </w:rPr>
              <w:t>E:13.02.00</w:t>
            </w:r>
          </w:p>
          <w:p>
            <w:pPr>
              <w:jc w:val="center"/>
              <w:rPr>
                <w:sz w:val="21"/>
                <w:szCs w:val="21"/>
              </w:rPr>
            </w:pPr>
            <w:r>
              <w:rPr>
                <w:sz w:val="21"/>
                <w:szCs w:val="21"/>
              </w:rPr>
              <w:t>O:13.02.00</w:t>
            </w:r>
          </w:p>
        </w:tc>
        <w:tc>
          <w:tcPr>
            <w:tcW w:w="1560" w:type="dxa"/>
            <w:gridSpan w:val="2"/>
            <w:vAlign w:val="center"/>
          </w:tcPr>
          <w:p>
            <w:pPr>
              <w:jc w:val="center"/>
              <w:rPr>
                <w:sz w:val="21"/>
                <w:szCs w:val="21"/>
              </w:rPr>
            </w:pPr>
            <w:r>
              <w:rPr>
                <w:sz w:val="21"/>
                <w:szCs w:val="21"/>
              </w:rPr>
              <w:t>15181072354 17709081193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2024-04-28</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BF45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2024-05-08T03:09:47Z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