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93"/>
        <w:gridCol w:w="123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四川世达金辉矿业有限公司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93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Q：29.11.01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E：29.11.01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O：29.11.01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煤炭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销售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流程：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市场拓展——合同评审——合同签订——采购——运输——交付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---售后服务。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 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确认过程：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cs="宋体"/>
                <w:sz w:val="21"/>
                <w:szCs w:val="21"/>
              </w:rPr>
              <w:t>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，也是关键过程。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销售过程采取销售服务规范控制，针对运输交付风险产生的风险：产品运输过程中的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煤炭抛洒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或交通事故造成的环境污染或人身伤害。通过管理方案和预案进行控制。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潜在火灾、固废排放，采取分类收集、管理方案和预案措施管理。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火灾，触电</w:t>
            </w:r>
            <w:r>
              <w:rPr>
                <w:rFonts w:hint="eastAsia"/>
                <w:sz w:val="20"/>
                <w:lang w:eastAsia="zh-CN"/>
              </w:rPr>
              <w:t>、车辆伤害（交通</w:t>
            </w:r>
            <w:r>
              <w:rPr>
                <w:rFonts w:hint="eastAsia"/>
                <w:sz w:val="20"/>
              </w:rPr>
              <w:t>事故</w:t>
            </w:r>
            <w:r>
              <w:rPr>
                <w:rFonts w:hint="eastAsia"/>
                <w:sz w:val="20"/>
                <w:lang w:eastAsia="zh-CN"/>
              </w:rPr>
              <w:t>）</w:t>
            </w:r>
            <w:r>
              <w:rPr>
                <w:rFonts w:hint="eastAsia"/>
                <w:sz w:val="20"/>
              </w:rPr>
              <w:t>采取制定管理方案控制，火灾、触电事故采取应急预案并演练方式进行控制。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中华人民共和国劳动合同法、中华人民共和国产品质量法</w:t>
            </w:r>
            <w:r>
              <w:rPr>
                <w:rFonts w:hint="eastAsia" w:ascii="宋体" w:hAnsi="宋体"/>
                <w:sz w:val="21"/>
                <w:szCs w:val="21"/>
              </w:rPr>
              <w:t>、中华人民共和国计量法、中华人民共和国消费者权益保护法、欺诈消费者行为处罚办法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、煤中全水分的测定方法</w:t>
            </w:r>
            <w:r>
              <w:rPr>
                <w:rFonts w:hint="default" w:ascii="宋体" w:hAnsi="宋体"/>
                <w:sz w:val="21"/>
                <w:szCs w:val="21"/>
              </w:rPr>
              <w:t xml:space="preserve">GB/T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211-2017、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煤的工业分析方法</w:t>
            </w:r>
            <w:r>
              <w:rPr>
                <w:rFonts w:hint="default" w:ascii="宋体" w:hAnsi="宋体"/>
                <w:sz w:val="21"/>
                <w:szCs w:val="21"/>
              </w:rPr>
              <w:t xml:space="preserve">GB/T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212-2008、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煤的发热量测定方法</w:t>
            </w:r>
            <w:r>
              <w:rPr>
                <w:rFonts w:hint="default" w:ascii="宋体" w:hAnsi="宋体"/>
                <w:sz w:val="21"/>
                <w:szCs w:val="21"/>
              </w:rPr>
              <w:t xml:space="preserve">GB/T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213-2008、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煤中全硫的测定方法</w:t>
            </w:r>
            <w:r>
              <w:rPr>
                <w:rFonts w:hint="default" w:ascii="宋体" w:hAnsi="宋体"/>
                <w:sz w:val="21"/>
                <w:szCs w:val="21"/>
              </w:rPr>
              <w:t xml:space="preserve">GB/T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214-2007、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煤灰熔融性的测定方法</w:t>
            </w:r>
            <w:r>
              <w:rPr>
                <w:rFonts w:hint="default" w:ascii="宋体" w:hAnsi="宋体"/>
                <w:sz w:val="21"/>
                <w:szCs w:val="21"/>
              </w:rPr>
              <w:t xml:space="preserve">GB/T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219-2008、商品煤样采取方法</w:t>
            </w:r>
            <w:r>
              <w:rPr>
                <w:rFonts w:hint="default" w:ascii="宋体" w:hAnsi="宋体"/>
                <w:sz w:val="21"/>
                <w:szCs w:val="21"/>
              </w:rPr>
              <w:t xml:space="preserve">GB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475-2008、</w:t>
            </w:r>
            <w:r>
              <w:rPr>
                <w:rFonts w:hint="eastAsia" w:ascii="宋体" w:hAnsi="宋体"/>
                <w:sz w:val="21"/>
                <w:szCs w:val="21"/>
              </w:rPr>
              <w:t>煤灰成分分析方法</w:t>
            </w:r>
            <w:r>
              <w:rPr>
                <w:rFonts w:hint="default" w:ascii="宋体" w:hAnsi="宋体"/>
                <w:sz w:val="21"/>
                <w:szCs w:val="21"/>
              </w:rPr>
              <w:t xml:space="preserve">GB/T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1574-2007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烟煤指标：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热值26兆焦，灰份19％，水份9％，硫1％，挥发份26。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无烟煤指标：热值23.5兆焦，灰份23％，水份9％，硫3％，挥发份10％。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4257040</wp:posOffset>
            </wp:positionH>
            <wp:positionV relativeFrom="paragraph">
              <wp:posOffset>68580</wp:posOffset>
            </wp:positionV>
            <wp:extent cx="684530" cy="428625"/>
            <wp:effectExtent l="0" t="0" r="1270" b="13335"/>
            <wp:wrapNone/>
            <wp:docPr id="1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1228090</wp:posOffset>
            </wp:positionH>
            <wp:positionV relativeFrom="paragraph">
              <wp:posOffset>105410</wp:posOffset>
            </wp:positionV>
            <wp:extent cx="684530" cy="428625"/>
            <wp:effectExtent l="0" t="0" r="1270" b="1333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2020.5.14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 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2020.5.14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8084969"/>
    <w:rsid w:val="1A46395D"/>
    <w:rsid w:val="2CE82732"/>
    <w:rsid w:val="390A353B"/>
    <w:rsid w:val="44C83F17"/>
    <w:rsid w:val="4C3B4C2D"/>
    <w:rsid w:val="506E74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2020-05-15T01:25:33Z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