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20225-2024-QEOFH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重庆迪瑞森实业发展有限公司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2021-N1FSMS-1012239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2024年04月30日 下午至2024年05月02日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重庆市长寿区桃兴三路3号附25号2-1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重庆市长寿区江南街道长寿经开区钢城大道2号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