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0089-2019-EO-2020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重庆市匀升贸易有限公司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重庆市荣昌区昌州街道昌州大道东段18号1幢2-1</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402460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重庆市荣昌区昌州街道昌州大道东段18号1幢2-1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402460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重庆市荣昌区昌州街道昌州大道东段18号1幢2-1</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402460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91500226MA5UB28W1X</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13983824208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陈太全</w:t>
      </w:r>
      <w:bookmarkEnd w:id="12"/>
      <w:r>
        <w:rPr>
          <w:rFonts w:hint="eastAsia"/>
          <w:b/>
          <w:color w:val="000000" w:themeColor="text1"/>
          <w:sz w:val="22"/>
          <w:szCs w:val="22"/>
        </w:rPr>
        <w:t>组织人数：</w:t>
      </w:r>
      <w:bookmarkStart w:id="13" w:name="体系人数"/>
      <w:r>
        <w:rPr>
          <w:b/>
          <w:color w:val="000000" w:themeColor="text1"/>
          <w:sz w:val="22"/>
          <w:szCs w:val="22"/>
          <w:u w:val="single"/>
        </w:rPr>
        <w:t>E:10,O:10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sz w:val="24"/>
          <w:szCs w:val="24"/>
        </w:rPr>
        <w:t xml:space="preserve">资质范围内煤焦油、重油、燃料油(不含危险化学品)、轻质化煤焦油、减水剂、砂石料、煤炭、建筑材料的销售所涉及场所的相关职业健康安全管理活动 </w:t>
      </w:r>
      <w:r>
        <w:rPr>
          <w:rFonts w:hint="eastAsia" w:ascii="宋体" w:hAnsi="宋体"/>
          <w:sz w:val="24"/>
          <w:szCs w:val="24"/>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4315460</wp:posOffset>
            </wp:positionH>
            <wp:positionV relativeFrom="paragraph">
              <wp:posOffset>144780</wp:posOffset>
            </wp:positionV>
            <wp:extent cx="588010" cy="368300"/>
            <wp:effectExtent l="0" t="0" r="6350" b="1270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88010" cy="36830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7" w:name="_GoBack"/>
      <w:bookmarkEnd w:id="17"/>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2020.5.11                                     </w:t>
      </w:r>
      <w:r>
        <w:rPr>
          <w:rFonts w:hint="eastAsia"/>
          <w:b/>
          <w:color w:val="000000" w:themeColor="text1"/>
          <w:sz w:val="22"/>
          <w:szCs w:val="22"/>
        </w:rPr>
        <w:t>日期：</w:t>
      </w:r>
      <w:r>
        <w:rPr>
          <w:rFonts w:hint="eastAsia"/>
          <w:b/>
          <w:color w:val="000000" w:themeColor="text1"/>
          <w:sz w:val="22"/>
          <w:szCs w:val="22"/>
          <w:lang w:val="en-US" w:eastAsia="zh-CN"/>
        </w:rPr>
        <w:t xml:space="preserve">2020.5.11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2F19A2"/>
    <w:rsid w:val="7DA05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2020-05-10T13:52:58Z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