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20247-2024-EnMS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安徽天畅金属材料有限公司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91341222MA2RPJHU71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安徽天畅金属材料有限公司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安徽省阜阳市太和县肖口镇工业园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安徽省阜阳市太和县肖口镇工业园</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再生铅冶炼生产所涉及的能源采购、转换、输运及使用的相关管理活动。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安徽天畅金属材料有限公司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安徽省阜阳市太和县肖口镇工业园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安徽省阜阳市太和县肖口镇工业园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再生铅冶炼生产所涉及的能源采购、转换、输运及使用的相关管理活动。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安徽省阜阳市太和县肖口镇工业园</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