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14" w:name="_GoBack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-19050</wp:posOffset>
            </wp:positionV>
            <wp:extent cx="6517005" cy="8542020"/>
            <wp:effectExtent l="0" t="0" r="10795" b="5080"/>
            <wp:wrapNone/>
            <wp:docPr id="2" name="图片 2" descr="新文档 2020-05-21 11.29.08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05-21 11.29.08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7005" cy="854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江西广泉专用汽车制造有限公司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0151-2020-QEO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姜建平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0795-7813999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彭苏敏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Q：殡仪车专用汽车改装制造</w:t>
            </w:r>
          </w:p>
          <w:p>
            <w:r>
              <w:t>E：殡仪车专用汽车改装制造所涉及的环境管理活动</w:t>
            </w:r>
          </w:p>
          <w:p>
            <w:r>
              <w:t>O：殡仪车专用汽车改装制造所涉及的相关职业健康安全管理活动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Q：22.01.00</w:t>
            </w:r>
          </w:p>
          <w:p>
            <w:r>
              <w:t>E：22.01.00</w:t>
            </w:r>
          </w:p>
          <w:p>
            <w:r>
              <w:t>O：22.01.00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2020年05月07日 下午至2020年05月08日 下午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谢建辉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Q:22.01.00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E:22.01.00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O:22.01.00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18507956020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文波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2020.4.30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2020.4.30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7005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8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2020.5.7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13：00--17：00</w:t>
            </w:r>
          </w:p>
        </w:tc>
        <w:tc>
          <w:tcPr>
            <w:tcW w:w="70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left"/>
              <w:rPr>
                <w:rFonts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首次会议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2) 方针的制定与贯彻情况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3) 环境因素的识别和评价程序合理性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4) 危险源的辨识和评价程序合理性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5) 体系覆盖产品及产品生产关键过程、特殊过程的识别和确认情况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6) 质量管理体系删减条款的合理性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7) 适用的法律和其他要求的获取、识别程序实施情况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8) 组织的目标、指标和管理方案合理性及实施情况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9) 组织法律法规的遵循情况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10) 内审和管理评审的实施情况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11) 管理体系文件审核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12）识别二阶段审核的资源配置情况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13）末次会议</w:t>
            </w:r>
          </w:p>
        </w:tc>
        <w:tc>
          <w:tcPr>
            <w:tcW w:w="85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2020.5.8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8：30--12：30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70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7AEF0A86"/>
    <w:multiLevelType w:val="singleLevel"/>
    <w:tmpl w:val="7AEF0A86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D3649E"/>
    <w:rsid w:val="7E9B39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小小</cp:lastModifiedBy>
  <cp:lastPrinted>2019-03-27T03:10:00Z</cp:lastPrinted>
  <dcterms:modified xsi:type="dcterms:W3CDTF">2020-05-21T13:02:35Z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