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0083-2020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78"/>
        <w:gridCol w:w="1270"/>
        <w:gridCol w:w="1156"/>
        <w:gridCol w:w="1061"/>
        <w:gridCol w:w="1279"/>
        <w:gridCol w:w="1339"/>
        <w:gridCol w:w="133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44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芜湖市金贸流体科技股份有限公司</w:t>
            </w:r>
            <w:bookmarkEnd w:id="1"/>
          </w:p>
        </w:tc>
        <w:tc>
          <w:tcPr>
            <w:tcW w:w="1339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5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电阻炉温度指示控制仪表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TDM-2001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1.5级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0.5级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繁昌县市场监督检验所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2019.06.03</w:t>
            </w:r>
          </w:p>
        </w:tc>
        <w:tc>
          <w:tcPr>
            <w:tcW w:w="1156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涂层测厚仪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RL21495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Elcometer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456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B级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A级</w:t>
            </w:r>
          </w:p>
        </w:tc>
        <w:tc>
          <w:tcPr>
            <w:tcW w:w="1339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芜湖市计量测试研究所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2019.07.29</w:t>
            </w:r>
          </w:p>
        </w:tc>
        <w:tc>
          <w:tcPr>
            <w:tcW w:w="1156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一般压力表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1E01403</w:t>
            </w:r>
            <w:bookmarkStart w:id="2" w:name="_GoBack"/>
            <w:bookmarkEnd w:id="2"/>
            <w:r>
              <w:rPr>
                <w:rFonts w:hint="eastAsia"/>
                <w:szCs w:val="21"/>
                <w:lang w:val="en-US" w:eastAsia="zh-CN"/>
              </w:rPr>
              <w:t>74</w:t>
            </w:r>
          </w:p>
        </w:tc>
        <w:tc>
          <w:tcPr>
            <w:tcW w:w="1156" w:type="dxa"/>
            <w:vAlign w:val="center"/>
          </w:tcPr>
          <w:p>
            <w:pPr>
              <w:ind w:left="420" w:hanging="420" w:hangingChars="2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0-0.6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繁昌县市场监督检验所</w:t>
            </w:r>
          </w:p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2020.04.03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一般压力表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61517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0-4.0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MPa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339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2020.04.03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2-10120934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339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2020.04.01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478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电液伺服液压万能试验机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170410A2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BJWA-W1000B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1.0级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0.3级</w:t>
            </w:r>
          </w:p>
        </w:tc>
        <w:tc>
          <w:tcPr>
            <w:tcW w:w="1339" w:type="dxa"/>
            <w:vMerge w:val="continue"/>
            <w:tcBorders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2019.06.03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电子天平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60045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TG-328A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Ⅰ</w:t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F2等级</w:t>
            </w:r>
          </w:p>
        </w:tc>
        <w:tc>
          <w:tcPr>
            <w:tcW w:w="1339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2019.06.03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已制定《计量确认程序》、《计量外部供方管理程序》和《溯源性管理程序》，公司测量设备全部送外校准/检定，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校准/检定机构按《计量外部供方管理程序》管理，校准/检定证书由</w:t>
            </w:r>
            <w:r>
              <w:rPr>
                <w:rFonts w:hint="eastAsia"/>
                <w:szCs w:val="21"/>
                <w:lang w:val="en-US" w:eastAsia="zh-CN"/>
              </w:rPr>
              <w:t>品质部</w:t>
            </w:r>
            <w:r>
              <w:rPr>
                <w:rFonts w:hint="eastAsia"/>
                <w:color w:val="000000" w:themeColor="text1"/>
                <w:szCs w:val="21"/>
              </w:rPr>
              <w:t>保存，符合公司对溯源性管理的要求。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 xml:space="preserve"> 月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</w:rPr>
              <w:t xml:space="preserve"> 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175895</wp:posOffset>
                  </wp:positionV>
                  <wp:extent cx="455930" cy="313055"/>
                  <wp:effectExtent l="0" t="0" r="1270" b="444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3825875</wp:posOffset>
                  </wp:positionH>
                  <wp:positionV relativeFrom="paragraph">
                    <wp:posOffset>161925</wp:posOffset>
                  </wp:positionV>
                  <wp:extent cx="381000" cy="259715"/>
                  <wp:effectExtent l="0" t="0" r="0" b="6985"/>
                  <wp:wrapNone/>
                  <wp:docPr id="62" name="图片 62" descr="7e0db8d1c9f96c1c1438c0dd2cc5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7e0db8d1c9f96c1c1438c0dd2cc51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22" t="39148" r="41584" b="51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20206F"/>
    <w:rsid w:val="6FC06105"/>
    <w:rsid w:val="78F663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2020-05-22T11:25:27Z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